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AD76D" w14:textId="77777777" w:rsidR="00A63B4A" w:rsidRPr="007F0AA6" w:rsidRDefault="00A63B4A" w:rsidP="005A6934">
      <w:pPr>
        <w:pStyle w:val="Intestazione"/>
        <w:tabs>
          <w:tab w:val="center" w:pos="6379"/>
        </w:tabs>
        <w:spacing w:after="120"/>
        <w:jc w:val="center"/>
        <w:rPr>
          <w:rFonts w:ascii="Trebuchet MS" w:hAnsi="Trebuchet MS"/>
          <w:color w:val="002060"/>
          <w:sz w:val="21"/>
          <w:szCs w:val="21"/>
        </w:rPr>
      </w:pPr>
      <w:bookmarkStart w:id="0" w:name="_GoBack"/>
      <w:bookmarkEnd w:id="0"/>
      <w:r w:rsidRPr="007F0AA6">
        <w:rPr>
          <w:rFonts w:ascii="Trebuchet MS" w:hAnsi="Trebuchet MS"/>
          <w:color w:val="002060"/>
          <w:sz w:val="21"/>
          <w:szCs w:val="21"/>
        </w:rPr>
        <w:t>Osservazioni al Rapporto “</w:t>
      </w:r>
      <w:r w:rsidRPr="007F0AA6">
        <w:rPr>
          <w:rFonts w:ascii="Trebuchet MS" w:hAnsi="Trebuchet MS"/>
          <w:i/>
          <w:color w:val="002060"/>
          <w:sz w:val="21"/>
          <w:szCs w:val="21"/>
        </w:rPr>
        <w:t>Il posizionamento italiano rispetto ai 17 Obiettivi di sviluppo sostenibile delle Nazioni Unite</w:t>
      </w:r>
      <w:r w:rsidRPr="007F0AA6">
        <w:rPr>
          <w:rFonts w:ascii="Trebuchet MS" w:hAnsi="Trebuchet MS"/>
          <w:color w:val="002060"/>
          <w:sz w:val="21"/>
          <w:szCs w:val="21"/>
        </w:rPr>
        <w:t>” del Ministero dell’Ambiente e della Tutela del Territorio e del Mare del 4 gennaio 2017</w:t>
      </w:r>
    </w:p>
    <w:p w14:paraId="1EE74100" w14:textId="77777777" w:rsidR="00A63B4A" w:rsidRPr="00EA25B4" w:rsidRDefault="00A63B4A" w:rsidP="005A6934">
      <w:pPr>
        <w:pStyle w:val="Intestazione"/>
        <w:tabs>
          <w:tab w:val="center" w:pos="6379"/>
        </w:tabs>
        <w:spacing w:after="120"/>
        <w:jc w:val="both"/>
        <w:rPr>
          <w:rFonts w:ascii="Trebuchet MS" w:hAnsi="Trebuchet MS"/>
          <w:color w:val="002060"/>
          <w:sz w:val="19"/>
          <w:szCs w:val="19"/>
        </w:rPr>
      </w:pPr>
    </w:p>
    <w:p w14:paraId="28B54CA8" w14:textId="77777777" w:rsidR="00804154" w:rsidRDefault="00804154" w:rsidP="005A6934">
      <w:pPr>
        <w:pStyle w:val="Intestazione"/>
        <w:tabs>
          <w:tab w:val="center" w:pos="6379"/>
        </w:tabs>
        <w:spacing w:after="120"/>
        <w:jc w:val="both"/>
        <w:rPr>
          <w:rFonts w:ascii="Trebuchet MS" w:hAnsi="Trebuchet MS"/>
          <w:color w:val="002060"/>
          <w:sz w:val="19"/>
          <w:szCs w:val="19"/>
        </w:rPr>
      </w:pPr>
    </w:p>
    <w:p w14:paraId="4E4A9096" w14:textId="77777777" w:rsidR="00BA1690" w:rsidRPr="00EA25B4" w:rsidRDefault="00A63B4A" w:rsidP="005A6934">
      <w:pPr>
        <w:pStyle w:val="Intestazione"/>
        <w:tabs>
          <w:tab w:val="center" w:pos="6379"/>
        </w:tabs>
        <w:spacing w:after="120"/>
        <w:jc w:val="both"/>
        <w:rPr>
          <w:rFonts w:ascii="Trebuchet MS" w:hAnsi="Trebuchet MS"/>
          <w:color w:val="002060"/>
          <w:sz w:val="19"/>
          <w:szCs w:val="19"/>
        </w:rPr>
      </w:pPr>
      <w:r w:rsidRPr="00EA25B4">
        <w:rPr>
          <w:rFonts w:ascii="Trebuchet MS" w:hAnsi="Trebuchet MS"/>
          <w:color w:val="002060"/>
          <w:sz w:val="19"/>
          <w:szCs w:val="19"/>
        </w:rPr>
        <w:t>L’Alleanza Italiana per lo sviluppo sostenibile</w:t>
      </w:r>
      <w:r w:rsidR="00BA1690" w:rsidRPr="00EA25B4">
        <w:rPr>
          <w:rFonts w:ascii="Trebuchet MS" w:hAnsi="Trebuchet MS"/>
          <w:color w:val="002060"/>
          <w:sz w:val="19"/>
          <w:szCs w:val="19"/>
        </w:rPr>
        <w:t xml:space="preserve"> </w:t>
      </w:r>
      <w:r w:rsidR="00057245" w:rsidRPr="00EA25B4">
        <w:rPr>
          <w:rFonts w:ascii="Trebuchet MS" w:hAnsi="Trebuchet MS"/>
          <w:color w:val="002060"/>
          <w:sz w:val="19"/>
          <w:szCs w:val="19"/>
        </w:rPr>
        <w:t xml:space="preserve">(ASviS) </w:t>
      </w:r>
      <w:r w:rsidR="00BA1690" w:rsidRPr="00EA25B4">
        <w:rPr>
          <w:rFonts w:ascii="Trebuchet MS" w:hAnsi="Trebuchet MS"/>
          <w:color w:val="002060"/>
          <w:sz w:val="19"/>
          <w:szCs w:val="19"/>
        </w:rPr>
        <w:t>ha preso parte, tra giugno e settembre 2016, alle consultazioni che il Ministero ha aperto alla società civile rispetto alla prima bozza del documento</w:t>
      </w:r>
      <w:r w:rsidR="00057245" w:rsidRPr="00EA25B4">
        <w:rPr>
          <w:rFonts w:ascii="Trebuchet MS" w:hAnsi="Trebuchet MS"/>
          <w:color w:val="002060"/>
          <w:sz w:val="19"/>
          <w:szCs w:val="19"/>
        </w:rPr>
        <w:t xml:space="preserve"> in esame</w:t>
      </w:r>
      <w:r w:rsidR="00BA1690" w:rsidRPr="00EA25B4">
        <w:rPr>
          <w:rFonts w:ascii="Trebuchet MS" w:hAnsi="Trebuchet MS"/>
          <w:color w:val="002060"/>
          <w:sz w:val="19"/>
          <w:szCs w:val="19"/>
        </w:rPr>
        <w:t xml:space="preserve">, formulando osservazioni e pareri e contribuendo allo sviluppo del Rapporto, mettendo a disposizione le </w:t>
      </w:r>
      <w:r w:rsidR="00057245" w:rsidRPr="00EA25B4">
        <w:rPr>
          <w:rFonts w:ascii="Trebuchet MS" w:hAnsi="Trebuchet MS"/>
          <w:color w:val="002060"/>
          <w:sz w:val="19"/>
          <w:szCs w:val="19"/>
        </w:rPr>
        <w:t xml:space="preserve">proprie competenze </w:t>
      </w:r>
      <w:r w:rsidR="00BA1690" w:rsidRPr="00EA25B4">
        <w:rPr>
          <w:rFonts w:ascii="Trebuchet MS" w:hAnsi="Trebuchet MS"/>
          <w:color w:val="002060"/>
          <w:sz w:val="19"/>
          <w:szCs w:val="19"/>
        </w:rPr>
        <w:t xml:space="preserve">in un ciclo di incontri fra </w:t>
      </w:r>
      <w:r w:rsidR="00804154">
        <w:rPr>
          <w:rFonts w:ascii="Trebuchet MS" w:hAnsi="Trebuchet MS"/>
          <w:color w:val="002060"/>
          <w:sz w:val="19"/>
          <w:szCs w:val="19"/>
        </w:rPr>
        <w:t xml:space="preserve">la </w:t>
      </w:r>
      <w:r w:rsidR="00BA1690" w:rsidRPr="00EA25B4">
        <w:rPr>
          <w:rFonts w:ascii="Trebuchet MS" w:hAnsi="Trebuchet MS"/>
          <w:color w:val="002060"/>
          <w:sz w:val="19"/>
          <w:szCs w:val="19"/>
        </w:rPr>
        <w:t xml:space="preserve">Direzione ministeriale </w:t>
      </w:r>
      <w:r w:rsidR="00057245" w:rsidRPr="00EA25B4">
        <w:rPr>
          <w:rFonts w:ascii="Trebuchet MS" w:hAnsi="Trebuchet MS"/>
          <w:color w:val="002060"/>
          <w:sz w:val="19"/>
          <w:szCs w:val="19"/>
        </w:rPr>
        <w:t xml:space="preserve">per lo sviluppo sostenibile e </w:t>
      </w:r>
      <w:r w:rsidR="00804154">
        <w:rPr>
          <w:rFonts w:ascii="Trebuchet MS" w:hAnsi="Trebuchet MS"/>
          <w:color w:val="002060"/>
          <w:sz w:val="19"/>
          <w:szCs w:val="19"/>
        </w:rPr>
        <w:t xml:space="preserve">i </w:t>
      </w:r>
      <w:r w:rsidR="00BA1690" w:rsidRPr="00EA25B4">
        <w:rPr>
          <w:rFonts w:ascii="Trebuchet MS" w:hAnsi="Trebuchet MS"/>
          <w:color w:val="002060"/>
          <w:sz w:val="19"/>
          <w:szCs w:val="19"/>
        </w:rPr>
        <w:t>rappresentanti dei gruppi di lavoro dell’Alleanza.</w:t>
      </w:r>
    </w:p>
    <w:p w14:paraId="1D99B63E" w14:textId="77777777" w:rsidR="008D1050" w:rsidRPr="00EA25B4" w:rsidRDefault="00D94250" w:rsidP="005A6934">
      <w:pPr>
        <w:pStyle w:val="Intestazione"/>
        <w:tabs>
          <w:tab w:val="center" w:pos="6379"/>
        </w:tabs>
        <w:spacing w:after="120"/>
        <w:jc w:val="both"/>
        <w:rPr>
          <w:rFonts w:ascii="Trebuchet MS" w:hAnsi="Trebuchet MS"/>
          <w:color w:val="002060"/>
          <w:sz w:val="19"/>
          <w:szCs w:val="19"/>
        </w:rPr>
      </w:pPr>
      <w:r w:rsidRPr="00EA25B4">
        <w:rPr>
          <w:rFonts w:ascii="Trebuchet MS" w:hAnsi="Trebuchet MS"/>
          <w:color w:val="002060"/>
          <w:sz w:val="19"/>
          <w:szCs w:val="19"/>
        </w:rPr>
        <w:t xml:space="preserve">Il presente documento propone un’analisi </w:t>
      </w:r>
      <w:r w:rsidRPr="00EA25B4">
        <w:rPr>
          <w:rFonts w:ascii="Trebuchet MS" w:hAnsi="Trebuchet MS"/>
          <w:i/>
          <w:color w:val="002060"/>
          <w:sz w:val="19"/>
          <w:szCs w:val="19"/>
        </w:rPr>
        <w:t>ex post</w:t>
      </w:r>
      <w:r w:rsidRPr="00EA25B4">
        <w:rPr>
          <w:rFonts w:ascii="Trebuchet MS" w:hAnsi="Trebuchet MS"/>
          <w:color w:val="002060"/>
          <w:sz w:val="19"/>
          <w:szCs w:val="19"/>
        </w:rPr>
        <w:t xml:space="preserve"> de</w:t>
      </w:r>
      <w:r w:rsidR="00804154">
        <w:rPr>
          <w:rFonts w:ascii="Trebuchet MS" w:hAnsi="Trebuchet MS"/>
          <w:color w:val="002060"/>
          <w:sz w:val="19"/>
          <w:szCs w:val="19"/>
        </w:rPr>
        <w:t xml:space="preserve">l </w:t>
      </w:r>
      <w:r w:rsidR="00057245" w:rsidRPr="00EA25B4">
        <w:rPr>
          <w:rFonts w:ascii="Trebuchet MS" w:hAnsi="Trebuchet MS"/>
          <w:color w:val="002060"/>
          <w:sz w:val="19"/>
          <w:szCs w:val="19"/>
        </w:rPr>
        <w:t>Rapporto</w:t>
      </w:r>
      <w:r w:rsidRPr="00EA25B4">
        <w:rPr>
          <w:rFonts w:ascii="Trebuchet MS" w:hAnsi="Trebuchet MS"/>
          <w:color w:val="002060"/>
          <w:sz w:val="19"/>
          <w:szCs w:val="19"/>
        </w:rPr>
        <w:t xml:space="preserve"> </w:t>
      </w:r>
      <w:r w:rsidR="00804154">
        <w:rPr>
          <w:rFonts w:ascii="Trebuchet MS" w:hAnsi="Trebuchet MS"/>
          <w:color w:val="002060"/>
          <w:sz w:val="19"/>
          <w:szCs w:val="19"/>
        </w:rPr>
        <w:t xml:space="preserve">pubblicato all’inizio di gennaio </w:t>
      </w:r>
      <w:r w:rsidR="008D1050" w:rsidRPr="00EA25B4">
        <w:rPr>
          <w:rFonts w:ascii="Trebuchet MS" w:hAnsi="Trebuchet MS"/>
          <w:color w:val="002060"/>
          <w:sz w:val="19"/>
          <w:szCs w:val="19"/>
        </w:rPr>
        <w:t xml:space="preserve">e formula </w:t>
      </w:r>
      <w:r w:rsidR="00804154">
        <w:rPr>
          <w:rFonts w:ascii="Trebuchet MS" w:hAnsi="Trebuchet MS"/>
          <w:color w:val="002060"/>
          <w:sz w:val="19"/>
          <w:szCs w:val="19"/>
        </w:rPr>
        <w:t xml:space="preserve">alcune </w:t>
      </w:r>
      <w:r w:rsidR="008D1050" w:rsidRPr="00EA25B4">
        <w:rPr>
          <w:rFonts w:ascii="Trebuchet MS" w:hAnsi="Trebuchet MS"/>
          <w:color w:val="002060"/>
          <w:sz w:val="19"/>
          <w:szCs w:val="19"/>
        </w:rPr>
        <w:t xml:space="preserve">osservazioni </w:t>
      </w:r>
      <w:r w:rsidR="00057245" w:rsidRPr="00EA25B4">
        <w:rPr>
          <w:rFonts w:ascii="Trebuchet MS" w:hAnsi="Trebuchet MS"/>
          <w:color w:val="002060"/>
          <w:sz w:val="19"/>
          <w:szCs w:val="19"/>
        </w:rPr>
        <w:t>in riferimento</w:t>
      </w:r>
      <w:r w:rsidR="008D1050" w:rsidRPr="00EA25B4">
        <w:rPr>
          <w:rFonts w:ascii="Trebuchet MS" w:hAnsi="Trebuchet MS"/>
          <w:color w:val="002060"/>
          <w:sz w:val="19"/>
          <w:szCs w:val="19"/>
        </w:rPr>
        <w:t xml:space="preserve"> </w:t>
      </w:r>
      <w:r w:rsidR="006B6602" w:rsidRPr="00EA25B4">
        <w:rPr>
          <w:rFonts w:ascii="Trebuchet MS" w:hAnsi="Trebuchet MS"/>
          <w:color w:val="002060"/>
          <w:sz w:val="19"/>
          <w:szCs w:val="19"/>
        </w:rPr>
        <w:t xml:space="preserve">alla metodologia adottata dal Ministero e </w:t>
      </w:r>
      <w:r w:rsidR="008D1050" w:rsidRPr="00EA25B4">
        <w:rPr>
          <w:rFonts w:ascii="Trebuchet MS" w:hAnsi="Trebuchet MS"/>
          <w:color w:val="002060"/>
          <w:sz w:val="19"/>
          <w:szCs w:val="19"/>
        </w:rPr>
        <w:t xml:space="preserve">ai risultati </w:t>
      </w:r>
      <w:r w:rsidR="00804154">
        <w:rPr>
          <w:rFonts w:ascii="Trebuchet MS" w:hAnsi="Trebuchet MS"/>
          <w:color w:val="002060"/>
          <w:sz w:val="19"/>
          <w:szCs w:val="19"/>
        </w:rPr>
        <w:t>ottenuti</w:t>
      </w:r>
      <w:r w:rsidR="008D1050" w:rsidRPr="00EA25B4">
        <w:rPr>
          <w:rFonts w:ascii="Trebuchet MS" w:hAnsi="Trebuchet MS"/>
          <w:color w:val="002060"/>
          <w:sz w:val="19"/>
          <w:szCs w:val="19"/>
        </w:rPr>
        <w:t>. Non sono oggetto del presente documento raccomandazion</w:t>
      </w:r>
      <w:r w:rsidR="00804154">
        <w:rPr>
          <w:rFonts w:ascii="Trebuchet MS" w:hAnsi="Trebuchet MS"/>
          <w:color w:val="002060"/>
          <w:sz w:val="19"/>
          <w:szCs w:val="19"/>
        </w:rPr>
        <w:t xml:space="preserve">i su singole </w:t>
      </w:r>
      <w:r w:rsidR="008D1050" w:rsidRPr="00EA25B4">
        <w:rPr>
          <w:rFonts w:ascii="Trebuchet MS" w:hAnsi="Trebuchet MS"/>
          <w:color w:val="002060"/>
          <w:sz w:val="19"/>
          <w:szCs w:val="19"/>
        </w:rPr>
        <w:t>politiche da sviluppare per il raggiungimento degli Obiettivi e dei Target</w:t>
      </w:r>
      <w:r w:rsidR="00B3121C" w:rsidRPr="00EA25B4">
        <w:rPr>
          <w:rFonts w:ascii="Trebuchet MS" w:hAnsi="Trebuchet MS"/>
          <w:color w:val="002060"/>
          <w:sz w:val="19"/>
          <w:szCs w:val="19"/>
        </w:rPr>
        <w:t>.</w:t>
      </w:r>
      <w:r w:rsidR="00804154">
        <w:rPr>
          <w:rFonts w:ascii="Trebuchet MS" w:hAnsi="Trebuchet MS"/>
          <w:color w:val="002060"/>
          <w:sz w:val="19"/>
          <w:szCs w:val="19"/>
        </w:rPr>
        <w:t xml:space="preserve"> </w:t>
      </w:r>
      <w:r w:rsidR="008D1050" w:rsidRPr="00EA25B4">
        <w:rPr>
          <w:rFonts w:ascii="Trebuchet MS" w:hAnsi="Trebuchet MS"/>
          <w:color w:val="002060"/>
          <w:sz w:val="19"/>
          <w:szCs w:val="19"/>
        </w:rPr>
        <w:t xml:space="preserve">L’analisi che segue è stata svolta </w:t>
      </w:r>
      <w:r w:rsidRPr="00EA25B4">
        <w:rPr>
          <w:rFonts w:ascii="Trebuchet MS" w:hAnsi="Trebuchet MS"/>
          <w:color w:val="002060"/>
          <w:sz w:val="19"/>
          <w:szCs w:val="19"/>
        </w:rPr>
        <w:t>seguendo la stessa impostazione della pubblicazione del Ministero. Il documento,</w:t>
      </w:r>
      <w:r w:rsidR="005913DC" w:rsidRPr="00EA25B4">
        <w:rPr>
          <w:rFonts w:ascii="Trebuchet MS" w:hAnsi="Trebuchet MS"/>
          <w:color w:val="002060"/>
          <w:sz w:val="19"/>
          <w:szCs w:val="19"/>
        </w:rPr>
        <w:t xml:space="preserve"> </w:t>
      </w:r>
      <w:r w:rsidR="008D1050" w:rsidRPr="00EA25B4">
        <w:rPr>
          <w:rFonts w:ascii="Trebuchet MS" w:hAnsi="Trebuchet MS"/>
          <w:color w:val="002060"/>
          <w:sz w:val="19"/>
          <w:szCs w:val="19"/>
        </w:rPr>
        <w:t>cioè</w:t>
      </w:r>
      <w:r w:rsidRPr="00EA25B4">
        <w:rPr>
          <w:rFonts w:ascii="Trebuchet MS" w:hAnsi="Trebuchet MS"/>
          <w:color w:val="002060"/>
          <w:sz w:val="19"/>
          <w:szCs w:val="19"/>
        </w:rPr>
        <w:t xml:space="preserve">, </w:t>
      </w:r>
      <w:r w:rsidR="008D1050" w:rsidRPr="00EA25B4">
        <w:rPr>
          <w:rFonts w:ascii="Trebuchet MS" w:hAnsi="Trebuchet MS"/>
          <w:color w:val="002060"/>
          <w:sz w:val="19"/>
          <w:szCs w:val="19"/>
        </w:rPr>
        <w:t xml:space="preserve">risulta articolato in 17 schede, che contengono </w:t>
      </w:r>
      <w:r w:rsidRPr="00EA25B4">
        <w:rPr>
          <w:rFonts w:ascii="Trebuchet MS" w:hAnsi="Trebuchet MS"/>
          <w:color w:val="002060"/>
          <w:sz w:val="19"/>
          <w:szCs w:val="19"/>
        </w:rPr>
        <w:t>le osservazioni</w:t>
      </w:r>
      <w:r w:rsidR="008D1050" w:rsidRPr="00EA25B4">
        <w:rPr>
          <w:rFonts w:ascii="Trebuchet MS" w:hAnsi="Trebuchet MS"/>
          <w:color w:val="002060"/>
          <w:sz w:val="19"/>
          <w:szCs w:val="19"/>
        </w:rPr>
        <w:t xml:space="preserve"> </w:t>
      </w:r>
      <w:r w:rsidRPr="00EA25B4">
        <w:rPr>
          <w:rFonts w:ascii="Trebuchet MS" w:hAnsi="Trebuchet MS"/>
          <w:color w:val="002060"/>
          <w:sz w:val="19"/>
          <w:szCs w:val="19"/>
        </w:rPr>
        <w:t xml:space="preserve">alle corrispondenti schede in cui il Rapporto </w:t>
      </w:r>
      <w:r w:rsidR="008D1050" w:rsidRPr="00EA25B4">
        <w:rPr>
          <w:rFonts w:ascii="Trebuchet MS" w:hAnsi="Trebuchet MS"/>
          <w:color w:val="002060"/>
          <w:sz w:val="19"/>
          <w:szCs w:val="19"/>
        </w:rPr>
        <w:t xml:space="preserve">ministeriale </w:t>
      </w:r>
      <w:r w:rsidRPr="00EA25B4">
        <w:rPr>
          <w:rFonts w:ascii="Trebuchet MS" w:hAnsi="Trebuchet MS"/>
          <w:color w:val="002060"/>
          <w:sz w:val="19"/>
          <w:szCs w:val="19"/>
        </w:rPr>
        <w:t>è organizzato</w:t>
      </w:r>
      <w:r w:rsidR="005913DC" w:rsidRPr="00EA25B4">
        <w:rPr>
          <w:rFonts w:ascii="Trebuchet MS" w:hAnsi="Trebuchet MS"/>
          <w:color w:val="002060"/>
          <w:sz w:val="19"/>
          <w:szCs w:val="19"/>
        </w:rPr>
        <w:t xml:space="preserve">. </w:t>
      </w:r>
      <w:r w:rsidR="006B799D" w:rsidRPr="00EA25B4">
        <w:rPr>
          <w:rFonts w:ascii="Trebuchet MS" w:hAnsi="Trebuchet MS"/>
          <w:color w:val="002060"/>
          <w:sz w:val="19"/>
          <w:szCs w:val="19"/>
        </w:rPr>
        <w:t xml:space="preserve">Non sempre, però, </w:t>
      </w:r>
      <w:r w:rsidR="008D1050" w:rsidRPr="00EA25B4">
        <w:rPr>
          <w:rFonts w:ascii="Trebuchet MS" w:hAnsi="Trebuchet MS"/>
          <w:color w:val="002060"/>
          <w:sz w:val="19"/>
          <w:szCs w:val="19"/>
        </w:rPr>
        <w:t>il riferimento</w:t>
      </w:r>
      <w:r w:rsidR="006B799D" w:rsidRPr="00EA25B4">
        <w:rPr>
          <w:rFonts w:ascii="Trebuchet MS" w:hAnsi="Trebuchet MS"/>
          <w:color w:val="002060"/>
          <w:sz w:val="19"/>
          <w:szCs w:val="19"/>
        </w:rPr>
        <w:t xml:space="preserve"> è realizzato</w:t>
      </w:r>
      <w:r w:rsidR="008D1050" w:rsidRPr="00EA25B4">
        <w:rPr>
          <w:rFonts w:ascii="Trebuchet MS" w:hAnsi="Trebuchet MS"/>
          <w:color w:val="002060"/>
          <w:sz w:val="19"/>
          <w:szCs w:val="19"/>
        </w:rPr>
        <w:t xml:space="preserve"> alla totalità dei Target degli Obiettivi: sono stati </w:t>
      </w:r>
      <w:r w:rsidR="005913DC" w:rsidRPr="00EA25B4">
        <w:rPr>
          <w:rFonts w:ascii="Trebuchet MS" w:hAnsi="Trebuchet MS"/>
          <w:color w:val="002060"/>
          <w:sz w:val="19"/>
          <w:szCs w:val="19"/>
        </w:rPr>
        <w:t xml:space="preserve">omessi, cioè, quei Target rispetto ai quali </w:t>
      </w:r>
      <w:r w:rsidR="008D1050" w:rsidRPr="00EA25B4">
        <w:rPr>
          <w:rFonts w:ascii="Trebuchet MS" w:hAnsi="Trebuchet MS"/>
          <w:color w:val="002060"/>
          <w:sz w:val="19"/>
          <w:szCs w:val="19"/>
        </w:rPr>
        <w:t>i gruppi di lavoro del</w:t>
      </w:r>
      <w:r w:rsidR="005913DC" w:rsidRPr="00EA25B4">
        <w:rPr>
          <w:rFonts w:ascii="Trebuchet MS" w:hAnsi="Trebuchet MS"/>
          <w:color w:val="002060"/>
          <w:sz w:val="19"/>
          <w:szCs w:val="19"/>
        </w:rPr>
        <w:t>l’Alleanza non ha</w:t>
      </w:r>
      <w:r w:rsidR="008D1050" w:rsidRPr="00EA25B4">
        <w:rPr>
          <w:rFonts w:ascii="Trebuchet MS" w:hAnsi="Trebuchet MS"/>
          <w:color w:val="002060"/>
          <w:sz w:val="19"/>
          <w:szCs w:val="19"/>
        </w:rPr>
        <w:t xml:space="preserve">nno ritenuto di formulare </w:t>
      </w:r>
      <w:r w:rsidR="005913DC" w:rsidRPr="00EA25B4">
        <w:rPr>
          <w:rFonts w:ascii="Trebuchet MS" w:hAnsi="Trebuchet MS"/>
          <w:color w:val="002060"/>
          <w:sz w:val="19"/>
          <w:szCs w:val="19"/>
        </w:rPr>
        <w:t>osservazioni.</w:t>
      </w:r>
      <w:r w:rsidR="006B799D" w:rsidRPr="00EA25B4">
        <w:rPr>
          <w:rFonts w:ascii="Trebuchet MS" w:hAnsi="Trebuchet MS"/>
          <w:color w:val="002060"/>
          <w:sz w:val="19"/>
          <w:szCs w:val="19"/>
        </w:rPr>
        <w:t xml:space="preserve"> In altri casi, invece, si è ritenuto di </w:t>
      </w:r>
      <w:r w:rsidR="00E701FB" w:rsidRPr="00EA25B4">
        <w:rPr>
          <w:rFonts w:ascii="Trebuchet MS" w:hAnsi="Trebuchet MS"/>
          <w:color w:val="002060"/>
          <w:sz w:val="19"/>
          <w:szCs w:val="19"/>
        </w:rPr>
        <w:t xml:space="preserve">unire alle </w:t>
      </w:r>
      <w:r w:rsidR="006B799D" w:rsidRPr="00EA25B4">
        <w:rPr>
          <w:rFonts w:ascii="Trebuchet MS" w:hAnsi="Trebuchet MS"/>
          <w:color w:val="002060"/>
          <w:sz w:val="19"/>
          <w:szCs w:val="19"/>
        </w:rPr>
        <w:t xml:space="preserve">osservazioni </w:t>
      </w:r>
      <w:r w:rsidR="00E701FB" w:rsidRPr="00EA25B4">
        <w:rPr>
          <w:rFonts w:ascii="Trebuchet MS" w:hAnsi="Trebuchet MS"/>
          <w:color w:val="002060"/>
          <w:sz w:val="19"/>
          <w:szCs w:val="19"/>
        </w:rPr>
        <w:t xml:space="preserve">sugli indicatori anche una riflessione di tipo </w:t>
      </w:r>
      <w:r w:rsidR="006B799D" w:rsidRPr="00EA25B4">
        <w:rPr>
          <w:rFonts w:ascii="Trebuchet MS" w:hAnsi="Trebuchet MS"/>
          <w:color w:val="002060"/>
          <w:sz w:val="19"/>
          <w:szCs w:val="19"/>
        </w:rPr>
        <w:t xml:space="preserve">generale </w:t>
      </w:r>
      <w:r w:rsidR="00E701FB" w:rsidRPr="00EA25B4">
        <w:rPr>
          <w:rFonts w:ascii="Trebuchet MS" w:hAnsi="Trebuchet MS"/>
          <w:color w:val="002060"/>
          <w:sz w:val="19"/>
          <w:szCs w:val="19"/>
        </w:rPr>
        <w:t xml:space="preserve">sulle risultanze del Rapporto </w:t>
      </w:r>
      <w:r w:rsidR="006B799D" w:rsidRPr="00EA25B4">
        <w:rPr>
          <w:rFonts w:ascii="Trebuchet MS" w:hAnsi="Trebuchet MS"/>
          <w:color w:val="002060"/>
          <w:sz w:val="19"/>
          <w:szCs w:val="19"/>
        </w:rPr>
        <w:t xml:space="preserve">e </w:t>
      </w:r>
      <w:r w:rsidR="00E701FB" w:rsidRPr="00EA25B4">
        <w:rPr>
          <w:rFonts w:ascii="Trebuchet MS" w:hAnsi="Trebuchet MS"/>
          <w:color w:val="002060"/>
          <w:sz w:val="19"/>
          <w:szCs w:val="19"/>
        </w:rPr>
        <w:t>sul metodo adottato.</w:t>
      </w:r>
    </w:p>
    <w:p w14:paraId="2CF123A5" w14:textId="77777777" w:rsidR="00AD709E" w:rsidRPr="005A6934" w:rsidRDefault="002104F5" w:rsidP="005A6934">
      <w:pPr>
        <w:spacing w:after="120"/>
        <w:jc w:val="both"/>
        <w:rPr>
          <w:rFonts w:ascii="Trebuchet MS" w:hAnsi="Trebuchet MS"/>
          <w:color w:val="002060"/>
          <w:sz w:val="19"/>
          <w:szCs w:val="19"/>
        </w:rPr>
      </w:pPr>
      <w:r w:rsidRPr="005A6934">
        <w:rPr>
          <w:rFonts w:ascii="Trebuchet MS" w:hAnsi="Trebuchet MS"/>
          <w:color w:val="002060"/>
          <w:sz w:val="19"/>
          <w:szCs w:val="19"/>
        </w:rPr>
        <w:t xml:space="preserve">L’analisi qui svolta verrà utilizzata dal gruppo di lavoro sugli indicatori per popolare il database in fase di predisposizione a cura dell’Alleanza. </w:t>
      </w:r>
    </w:p>
    <w:p w14:paraId="39F1307B" w14:textId="77777777" w:rsidR="00696A2A" w:rsidRDefault="00696A2A" w:rsidP="005A6934">
      <w:pPr>
        <w:spacing w:after="120"/>
        <w:rPr>
          <w:rFonts w:ascii="Trebuchet MS" w:hAnsi="Trebuchet MS"/>
          <w:color w:val="002060"/>
          <w:sz w:val="19"/>
          <w:szCs w:val="19"/>
        </w:rPr>
      </w:pPr>
      <w:r>
        <w:rPr>
          <w:rFonts w:ascii="Trebuchet MS" w:hAnsi="Trebuchet MS"/>
          <w:color w:val="002060"/>
          <w:sz w:val="19"/>
          <w:szCs w:val="19"/>
        </w:rPr>
        <w:br w:type="page"/>
      </w:r>
    </w:p>
    <w:p w14:paraId="74DDB9B8" w14:textId="77777777" w:rsidR="008D1050" w:rsidRPr="00EA25B4" w:rsidRDefault="008D1050" w:rsidP="005A6934">
      <w:pPr>
        <w:spacing w:after="120"/>
        <w:jc w:val="both"/>
        <w:rPr>
          <w:rFonts w:ascii="Trebuchet MS" w:hAnsi="Trebuchet MS"/>
          <w:color w:val="002060"/>
          <w:sz w:val="19"/>
          <w:szCs w:val="19"/>
        </w:rPr>
      </w:pPr>
      <w:r w:rsidRPr="00EA25B4">
        <w:rPr>
          <w:rFonts w:ascii="Trebuchet MS" w:hAnsi="Trebuchet MS"/>
          <w:color w:val="002060"/>
          <w:sz w:val="19"/>
          <w:szCs w:val="19"/>
          <w:u w:val="single"/>
        </w:rPr>
        <w:lastRenderedPageBreak/>
        <w:t>Obiettivo 1 – Sconfiggere la povertà</w:t>
      </w:r>
    </w:p>
    <w:p w14:paraId="792ABC47" w14:textId="77777777" w:rsidR="00E2197F" w:rsidRDefault="00E2197F" w:rsidP="005A6934">
      <w:pPr>
        <w:spacing w:after="120"/>
        <w:jc w:val="both"/>
        <w:rPr>
          <w:rFonts w:ascii="Trebuchet MS" w:hAnsi="Trebuchet MS"/>
          <w:color w:val="002060"/>
          <w:sz w:val="19"/>
          <w:szCs w:val="19"/>
        </w:rPr>
      </w:pPr>
      <w:r>
        <w:rPr>
          <w:rFonts w:ascii="Trebuchet MS" w:hAnsi="Trebuchet MS"/>
          <w:color w:val="002060"/>
          <w:sz w:val="19"/>
          <w:szCs w:val="19"/>
        </w:rPr>
        <w:t>Per quanto concerne l’Obiettivo 1, si osserva in linea generale che il R</w:t>
      </w:r>
      <w:r w:rsidRPr="00E2197F">
        <w:rPr>
          <w:rFonts w:ascii="Trebuchet MS" w:hAnsi="Trebuchet MS"/>
          <w:color w:val="002060"/>
          <w:sz w:val="19"/>
          <w:szCs w:val="19"/>
        </w:rPr>
        <w:t xml:space="preserve">apporto </w:t>
      </w:r>
      <w:r>
        <w:rPr>
          <w:rFonts w:ascii="Trebuchet MS" w:hAnsi="Trebuchet MS"/>
          <w:color w:val="002060"/>
          <w:sz w:val="19"/>
          <w:szCs w:val="19"/>
        </w:rPr>
        <w:t xml:space="preserve">dovrebbe essere integrato </w:t>
      </w:r>
      <w:r w:rsidRPr="00E2197F">
        <w:rPr>
          <w:rFonts w:ascii="Trebuchet MS" w:hAnsi="Trebuchet MS"/>
          <w:color w:val="002060"/>
          <w:sz w:val="19"/>
          <w:szCs w:val="19"/>
        </w:rPr>
        <w:t>dando maggior spazio alla condizione dei minori</w:t>
      </w:r>
      <w:r>
        <w:rPr>
          <w:rFonts w:ascii="Trebuchet MS" w:hAnsi="Trebuchet MS"/>
          <w:color w:val="002060"/>
          <w:sz w:val="19"/>
          <w:szCs w:val="19"/>
        </w:rPr>
        <w:t xml:space="preserve"> e</w:t>
      </w:r>
      <w:r w:rsidRPr="00E2197F">
        <w:rPr>
          <w:rFonts w:ascii="Trebuchet MS" w:hAnsi="Trebuchet MS"/>
          <w:color w:val="002060"/>
          <w:sz w:val="19"/>
          <w:szCs w:val="19"/>
        </w:rPr>
        <w:t xml:space="preserve"> sottolineando in maniera più incisiva la debolezza della politica di contrasto alla povertà</w:t>
      </w:r>
      <w:r>
        <w:rPr>
          <w:rFonts w:ascii="Trebuchet MS" w:hAnsi="Trebuchet MS"/>
          <w:color w:val="002060"/>
          <w:sz w:val="19"/>
          <w:szCs w:val="19"/>
        </w:rPr>
        <w:t>.</w:t>
      </w:r>
    </w:p>
    <w:p w14:paraId="7785FA7B" w14:textId="77777777" w:rsidR="00BA02C5" w:rsidRPr="00EA25B4" w:rsidRDefault="00BA02C5"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Con </w:t>
      </w:r>
      <w:r w:rsidR="00E2197F">
        <w:rPr>
          <w:rFonts w:ascii="Trebuchet MS" w:hAnsi="Trebuchet MS"/>
          <w:color w:val="002060"/>
          <w:sz w:val="19"/>
          <w:szCs w:val="19"/>
        </w:rPr>
        <w:t xml:space="preserve">riguardo ai singoli indicatori, per </w:t>
      </w:r>
      <w:r w:rsidRPr="00EA25B4">
        <w:rPr>
          <w:rFonts w:ascii="Trebuchet MS" w:hAnsi="Trebuchet MS"/>
          <w:color w:val="002060"/>
          <w:sz w:val="19"/>
          <w:szCs w:val="19"/>
        </w:rPr>
        <w:t xml:space="preserve">i </w:t>
      </w:r>
      <w:r w:rsidRPr="00EA25B4">
        <w:rPr>
          <w:rFonts w:ascii="Trebuchet MS" w:hAnsi="Trebuchet MS"/>
          <w:b/>
          <w:color w:val="002060"/>
          <w:sz w:val="19"/>
          <w:szCs w:val="19"/>
        </w:rPr>
        <w:t>Target 1.1 e 1.2</w:t>
      </w:r>
      <w:r w:rsidRPr="00EA25B4">
        <w:rPr>
          <w:rFonts w:ascii="Trebuchet MS" w:hAnsi="Trebuchet MS"/>
          <w:color w:val="002060"/>
          <w:sz w:val="19"/>
          <w:szCs w:val="19"/>
        </w:rPr>
        <w:t xml:space="preserve"> il documento dovrebbe analizzare i nuovi dati ISTAT al 2015. Inoltre si dovrebbe dare maggiore risalto e spazio alle statistiche sulla povertà in Italia elaborate dall’Eurostat che utilizzano metodologia e indicatori diversi (e più avanzati).  L’Eurostat calcola infatti sia un indicatore tradizionale monetario di povertà relativa (metodologicamente migliore di quello dell’ISTAT) sia un indicatore multidimensionale, l’AROPE, che include sia la povertà monetaria sia altri importanti aspetti non monetari della povertà. Si sottolinea poi che la soglia internazionale di povertà assoluta è attualmente di 1,90 dollari al giorno e non si tratta di dollari “nominali”, ma di dollari PPP, ossia a Parità di Potere d’Acquisto. Inoltre, contrariamente a quanto affermato, l’ISTAT non misura solo l’incidenza della povertà, ma anche l’intensità della povertà, sebbene non in forma disaggregata (per sesso, classi di età, ecc.). Il documento avrebbe dovuto dunque commentare anche questi indicatori. Infine, il testo cita la povertà per classi di età, ma dovrebbe sottolineare maggiormente la forte crescita della povertà minorile nel nostro paese, raddoppiata negli ultimi cinque anni (fonte Istat).</w:t>
      </w:r>
    </w:p>
    <w:p w14:paraId="69E74947" w14:textId="77777777" w:rsidR="00BA02C5" w:rsidRDefault="00BA02C5"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Con riguardo al </w:t>
      </w:r>
      <w:r w:rsidRPr="00EA25B4">
        <w:rPr>
          <w:rFonts w:ascii="Trebuchet MS" w:hAnsi="Trebuchet MS"/>
          <w:b/>
          <w:color w:val="002060"/>
          <w:sz w:val="19"/>
          <w:szCs w:val="19"/>
        </w:rPr>
        <w:t>Target 1.3</w:t>
      </w:r>
      <w:r w:rsidRPr="00EA25B4">
        <w:rPr>
          <w:rFonts w:ascii="Trebuchet MS" w:hAnsi="Trebuchet MS"/>
          <w:color w:val="002060"/>
          <w:sz w:val="19"/>
          <w:szCs w:val="19"/>
        </w:rPr>
        <w:t>, la spesa dedicata alla protezione sociale non risulta un buon indicatore, perché anziché fornire informazioni sulla popolazione coperta, ossia su un risultato (</w:t>
      </w:r>
      <w:r w:rsidRPr="00EA25B4">
        <w:rPr>
          <w:rFonts w:ascii="Trebuchet MS" w:hAnsi="Trebuchet MS"/>
          <w:i/>
          <w:color w:val="002060"/>
          <w:sz w:val="19"/>
          <w:szCs w:val="19"/>
        </w:rPr>
        <w:t>outcome</w:t>
      </w:r>
      <w:r w:rsidRPr="00EA25B4">
        <w:rPr>
          <w:rFonts w:ascii="Trebuchet MS" w:hAnsi="Trebuchet MS"/>
          <w:color w:val="002060"/>
          <w:sz w:val="19"/>
          <w:szCs w:val="19"/>
        </w:rPr>
        <w:t>), si riferisce alle risorse pubbliche destinate, che non sono un risultato ma un input. Si raccomanda di considerare anche i dati rilevati da Eurispes (Rapporto Italia 2017), in particolare quelli che indicano l'esistenza di sacche di disagio e difficoltà economiche.</w:t>
      </w:r>
    </w:p>
    <w:p w14:paraId="68F307BA" w14:textId="77777777" w:rsidR="00E2197F" w:rsidRPr="00EA25B4" w:rsidRDefault="00E2197F" w:rsidP="005A6934">
      <w:pPr>
        <w:spacing w:after="120"/>
        <w:jc w:val="both"/>
        <w:rPr>
          <w:rFonts w:ascii="Trebuchet MS" w:hAnsi="Trebuchet MS"/>
          <w:color w:val="002060"/>
          <w:sz w:val="19"/>
          <w:szCs w:val="19"/>
        </w:rPr>
      </w:pPr>
      <w:r>
        <w:rPr>
          <w:rFonts w:ascii="Trebuchet MS" w:hAnsi="Trebuchet MS"/>
          <w:color w:val="002060"/>
          <w:sz w:val="19"/>
          <w:szCs w:val="19"/>
        </w:rPr>
        <w:t xml:space="preserve">Sul </w:t>
      </w:r>
      <w:r w:rsidRPr="00696A2A">
        <w:rPr>
          <w:rFonts w:ascii="Trebuchet MS" w:hAnsi="Trebuchet MS"/>
          <w:b/>
          <w:color w:val="002060"/>
          <w:sz w:val="19"/>
          <w:szCs w:val="19"/>
        </w:rPr>
        <w:t>Target 1.4</w:t>
      </w:r>
      <w:r>
        <w:rPr>
          <w:rFonts w:ascii="Trebuchet MS" w:hAnsi="Trebuchet MS"/>
          <w:color w:val="002060"/>
          <w:sz w:val="19"/>
          <w:szCs w:val="19"/>
        </w:rPr>
        <w:t xml:space="preserve"> è utile considerare i dati interessanti dell’Eurispes (Rapporto Italia 2017), in particolare quelli che indicano l’esistenza di sacche di disagio e difficoltà economiche.</w:t>
      </w:r>
    </w:p>
    <w:p w14:paraId="4E7C49BB" w14:textId="77777777" w:rsidR="00BA02C5" w:rsidRPr="00EA25B4" w:rsidRDefault="00BA02C5"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Per il </w:t>
      </w:r>
      <w:r w:rsidRPr="00EA25B4">
        <w:rPr>
          <w:rFonts w:ascii="Trebuchet MS" w:hAnsi="Trebuchet MS"/>
          <w:b/>
          <w:color w:val="002060"/>
          <w:sz w:val="19"/>
          <w:szCs w:val="19"/>
        </w:rPr>
        <w:t>Target 1.5</w:t>
      </w:r>
      <w:r w:rsidRPr="00EA25B4">
        <w:rPr>
          <w:rFonts w:ascii="Trebuchet MS" w:hAnsi="Trebuchet MS"/>
          <w:color w:val="002060"/>
          <w:sz w:val="19"/>
          <w:szCs w:val="19"/>
        </w:rPr>
        <w:t xml:space="preserve">, sui rischi naturali rispetto al tasso di mortalità per frane e alluvioni andrebbero utilizzati i dati ISPRA relativi alla popolazione esposta a rischio frane e a rischio alluvione nonché all’indice di rischio sismico rilevato dal Dipartimento di Protezione Civile. </w:t>
      </w:r>
      <w:r w:rsidR="00B6614B" w:rsidRPr="00EA25B4">
        <w:rPr>
          <w:rFonts w:ascii="Trebuchet MS" w:hAnsi="Trebuchet MS"/>
          <w:color w:val="002060"/>
          <w:sz w:val="19"/>
          <w:szCs w:val="19"/>
        </w:rPr>
        <w:t>È</w:t>
      </w:r>
      <w:r w:rsidRPr="00EA25B4">
        <w:rPr>
          <w:rFonts w:ascii="Trebuchet MS" w:hAnsi="Trebuchet MS"/>
          <w:color w:val="002060"/>
          <w:sz w:val="19"/>
          <w:szCs w:val="19"/>
        </w:rPr>
        <w:t xml:space="preserve"> utile inoltre affiancare all’indicatore sullo stato di attuazione del PAI un indicatore relativo all’adozione e attuazione dei nuovi Piani di Gestione del Rischio Alluvioni (PGRA). Inoltre rispetto ai dati sui piani di emergenza, si propone di far riferimento ai dati della Protezione Civile sull’adozione dei Comuni italiani di Piani di Emergenza (non soltanto rischio sismico).</w:t>
      </w:r>
    </w:p>
    <w:p w14:paraId="112558A3" w14:textId="77777777" w:rsidR="00BA02C5" w:rsidRPr="00EA25B4" w:rsidRDefault="00BA02C5" w:rsidP="005A6934">
      <w:pPr>
        <w:spacing w:after="120"/>
        <w:jc w:val="both"/>
        <w:rPr>
          <w:rFonts w:ascii="Trebuchet MS" w:hAnsi="Trebuchet MS"/>
          <w:color w:val="002060"/>
          <w:sz w:val="19"/>
          <w:szCs w:val="19"/>
        </w:rPr>
      </w:pPr>
    </w:p>
    <w:p w14:paraId="60C6268D" w14:textId="77777777" w:rsidR="008D1050" w:rsidRPr="00EA25B4" w:rsidRDefault="008D1050" w:rsidP="005A6934">
      <w:pPr>
        <w:spacing w:after="120"/>
        <w:jc w:val="both"/>
        <w:rPr>
          <w:rFonts w:ascii="Trebuchet MS" w:hAnsi="Trebuchet MS"/>
          <w:color w:val="002060"/>
          <w:sz w:val="19"/>
          <w:szCs w:val="19"/>
          <w:u w:val="single"/>
        </w:rPr>
      </w:pPr>
      <w:r w:rsidRPr="00EA25B4">
        <w:rPr>
          <w:rFonts w:ascii="Trebuchet MS" w:hAnsi="Trebuchet MS"/>
          <w:color w:val="002060"/>
          <w:sz w:val="19"/>
          <w:szCs w:val="19"/>
          <w:u w:val="single"/>
        </w:rPr>
        <w:t>Obiettivo 2 – Sconfiggere la fame</w:t>
      </w:r>
    </w:p>
    <w:p w14:paraId="2CC1D80D" w14:textId="77777777" w:rsidR="00804154" w:rsidRDefault="00FE4A1E" w:rsidP="005A6934">
      <w:pPr>
        <w:spacing w:after="120"/>
        <w:jc w:val="both"/>
        <w:rPr>
          <w:rFonts w:ascii="Trebuchet MS" w:hAnsi="Trebuchet MS"/>
          <w:color w:val="002060"/>
          <w:sz w:val="19"/>
          <w:szCs w:val="19"/>
        </w:rPr>
      </w:pPr>
      <w:r w:rsidRPr="00FE4A1E">
        <w:rPr>
          <w:rFonts w:ascii="Trebuchet MS" w:hAnsi="Trebuchet MS"/>
          <w:color w:val="002060"/>
          <w:sz w:val="19"/>
          <w:szCs w:val="19"/>
        </w:rPr>
        <w:t>Dal rapporto del Ministero emerge tutta la complessità del Goal 2 ed è apprezzabile lo sforzo di sintesi fatto, necessario per arr</w:t>
      </w:r>
      <w:r>
        <w:rPr>
          <w:rFonts w:ascii="Trebuchet MS" w:hAnsi="Trebuchet MS"/>
          <w:color w:val="002060"/>
          <w:sz w:val="19"/>
          <w:szCs w:val="19"/>
        </w:rPr>
        <w:t xml:space="preserve">ivare ad una prima valutazione. Tuttavia </w:t>
      </w:r>
      <w:r w:rsidRPr="00FE4A1E">
        <w:rPr>
          <w:rFonts w:ascii="Trebuchet MS" w:hAnsi="Trebuchet MS"/>
          <w:color w:val="002060"/>
          <w:sz w:val="19"/>
          <w:szCs w:val="19"/>
        </w:rPr>
        <w:t>esistono ancora degli aspetti che</w:t>
      </w:r>
      <w:r>
        <w:rPr>
          <w:rFonts w:ascii="Trebuchet MS" w:hAnsi="Trebuchet MS"/>
          <w:color w:val="002060"/>
          <w:sz w:val="19"/>
          <w:szCs w:val="19"/>
        </w:rPr>
        <w:t xml:space="preserve"> </w:t>
      </w:r>
      <w:r w:rsidRPr="00FE4A1E">
        <w:rPr>
          <w:rFonts w:ascii="Trebuchet MS" w:hAnsi="Trebuchet MS"/>
          <w:color w:val="002060"/>
          <w:sz w:val="19"/>
          <w:szCs w:val="19"/>
        </w:rPr>
        <w:t>andrebbero ulteriormente approfonditi</w:t>
      </w:r>
      <w:r>
        <w:rPr>
          <w:rFonts w:ascii="Trebuchet MS" w:hAnsi="Trebuchet MS"/>
          <w:color w:val="002060"/>
          <w:sz w:val="19"/>
          <w:szCs w:val="19"/>
        </w:rPr>
        <w:t>.</w:t>
      </w:r>
    </w:p>
    <w:p w14:paraId="238A229F" w14:textId="77777777" w:rsidR="00BA02C5" w:rsidRPr="00EA25B4" w:rsidRDefault="00BA02C5"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Con riguardo al </w:t>
      </w:r>
      <w:r w:rsidRPr="00EA25B4">
        <w:rPr>
          <w:rFonts w:ascii="Trebuchet MS" w:hAnsi="Trebuchet MS"/>
          <w:b/>
          <w:color w:val="002060"/>
          <w:sz w:val="19"/>
          <w:szCs w:val="19"/>
        </w:rPr>
        <w:t>Target 2.1</w:t>
      </w:r>
      <w:r w:rsidRPr="00EA25B4">
        <w:rPr>
          <w:rFonts w:ascii="Trebuchet MS" w:hAnsi="Trebuchet MS"/>
          <w:color w:val="002060"/>
          <w:sz w:val="19"/>
          <w:szCs w:val="19"/>
        </w:rPr>
        <w:t>, per meglio individuare le persone che soffrono specificamente di problemi legati all’alimentazione, potrebbe essere utilizzato l’indicatore Eurostat per individuare le persone che si trovano nella “</w:t>
      </w:r>
      <w:r w:rsidRPr="00EA25B4">
        <w:rPr>
          <w:rFonts w:ascii="Trebuchet MS" w:hAnsi="Trebuchet MS"/>
          <w:i/>
          <w:color w:val="002060"/>
          <w:sz w:val="19"/>
          <w:szCs w:val="19"/>
        </w:rPr>
        <w:t>incapacità di permettersi un pasto con carne o pesce (o equivalente vegetariano) ogni due giorni</w:t>
      </w:r>
      <w:r w:rsidRPr="00EA25B4">
        <w:rPr>
          <w:rFonts w:ascii="Trebuchet MS" w:hAnsi="Trebuchet MS"/>
          <w:color w:val="002060"/>
          <w:sz w:val="19"/>
          <w:szCs w:val="19"/>
        </w:rPr>
        <w:t xml:space="preserve">”, </w:t>
      </w:r>
      <w:r w:rsidR="00B6614B" w:rsidRPr="00EA25B4">
        <w:rPr>
          <w:rFonts w:ascii="Trebuchet MS" w:hAnsi="Trebuchet MS"/>
          <w:color w:val="002060"/>
          <w:sz w:val="19"/>
          <w:szCs w:val="19"/>
        </w:rPr>
        <w:t xml:space="preserve">nonostante </w:t>
      </w:r>
      <w:r w:rsidRPr="00EA25B4">
        <w:rPr>
          <w:rFonts w:ascii="Trebuchet MS" w:hAnsi="Trebuchet MS"/>
          <w:color w:val="002060"/>
          <w:sz w:val="19"/>
          <w:szCs w:val="19"/>
        </w:rPr>
        <w:t>anche in questo caso, t</w:t>
      </w:r>
      <w:r w:rsidR="00B6614B" w:rsidRPr="00EA25B4">
        <w:rPr>
          <w:rFonts w:ascii="Trebuchet MS" w:hAnsi="Trebuchet MS"/>
          <w:color w:val="002060"/>
          <w:sz w:val="19"/>
          <w:szCs w:val="19"/>
        </w:rPr>
        <w:t>uttavia, l’indicatore sembri</w:t>
      </w:r>
      <w:r w:rsidRPr="00EA25B4">
        <w:rPr>
          <w:rFonts w:ascii="Trebuchet MS" w:hAnsi="Trebuchet MS"/>
          <w:color w:val="002060"/>
          <w:sz w:val="19"/>
          <w:szCs w:val="19"/>
        </w:rPr>
        <w:t xml:space="preserve"> avere maglie troppo grandi per individuare le reali dimensioni del problema. Un indicatore che potrebbe essere usato per ovviare sia ai limiti degli indicatori su povertà assoluta e relativa </w:t>
      </w:r>
      <w:r w:rsidR="00B6614B" w:rsidRPr="00EA25B4">
        <w:rPr>
          <w:rFonts w:ascii="Trebuchet MS" w:hAnsi="Trebuchet MS"/>
          <w:color w:val="002060"/>
          <w:sz w:val="19"/>
          <w:szCs w:val="19"/>
        </w:rPr>
        <w:t xml:space="preserve">sia </w:t>
      </w:r>
      <w:r w:rsidRPr="00EA25B4">
        <w:rPr>
          <w:rFonts w:ascii="Trebuchet MS" w:hAnsi="Trebuchet MS"/>
          <w:color w:val="002060"/>
          <w:sz w:val="19"/>
          <w:szCs w:val="19"/>
        </w:rPr>
        <w:t>a quelli legati alla deprivazione materiale è quello di “povertà alimentare assoluta”, ovvero coloro i quali su trovano al di sotto della soglia di povertà assoluta stabilita dall’Istat e, nel contempo, presentano una spesa alimentare inferiore alla soglia assoluta riferita alla sola compo</w:t>
      </w:r>
      <w:r w:rsidR="00B6614B" w:rsidRPr="00EA25B4">
        <w:rPr>
          <w:rFonts w:ascii="Trebuchet MS" w:hAnsi="Trebuchet MS"/>
          <w:color w:val="002060"/>
          <w:sz w:val="19"/>
          <w:szCs w:val="19"/>
        </w:rPr>
        <w:t>nente alimentare.</w:t>
      </w:r>
    </w:p>
    <w:p w14:paraId="055EF493" w14:textId="77777777" w:rsidR="00E701FB" w:rsidRDefault="00BA02C5"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Con riferimento al </w:t>
      </w:r>
      <w:r w:rsidRPr="00EA25B4">
        <w:rPr>
          <w:rFonts w:ascii="Trebuchet MS" w:hAnsi="Trebuchet MS"/>
          <w:b/>
          <w:color w:val="002060"/>
          <w:sz w:val="19"/>
          <w:szCs w:val="19"/>
        </w:rPr>
        <w:t>Target 2.2</w:t>
      </w:r>
      <w:r w:rsidRPr="00EA25B4">
        <w:rPr>
          <w:rFonts w:ascii="Trebuchet MS" w:hAnsi="Trebuchet MS"/>
          <w:color w:val="002060"/>
          <w:sz w:val="19"/>
          <w:szCs w:val="19"/>
        </w:rPr>
        <w:t>, per l’Italia il focus riguarda gli stili alimentari. Al di là dei risultati positivi degli indicatori rispetto alla mortalità infantile e al grado di obesità della popolazione, andrebbero approfondite le questioni relative all’educazione alimentare. Similmente a quanto proposto per il Target</w:t>
      </w:r>
      <w:r w:rsidR="00E701FB" w:rsidRPr="00EA25B4">
        <w:rPr>
          <w:rFonts w:ascii="Trebuchet MS" w:hAnsi="Trebuchet MS"/>
          <w:color w:val="002060"/>
          <w:sz w:val="19"/>
          <w:szCs w:val="19"/>
        </w:rPr>
        <w:t xml:space="preserve"> </w:t>
      </w:r>
      <w:r w:rsidRPr="00EA25B4">
        <w:rPr>
          <w:rFonts w:ascii="Trebuchet MS" w:hAnsi="Trebuchet MS"/>
          <w:color w:val="002060"/>
          <w:sz w:val="19"/>
          <w:szCs w:val="19"/>
        </w:rPr>
        <w:t>2.1, potrebbe essere individuato il tasso di “povertà alimentare assoluta” tra la popolazione 0-5, o più in general</w:t>
      </w:r>
      <w:r w:rsidR="00B6614B" w:rsidRPr="00EA25B4">
        <w:rPr>
          <w:rFonts w:ascii="Trebuchet MS" w:hAnsi="Trebuchet MS"/>
          <w:color w:val="002060"/>
          <w:sz w:val="19"/>
          <w:szCs w:val="19"/>
        </w:rPr>
        <w:t>e tra la popolazione minorenne.</w:t>
      </w:r>
    </w:p>
    <w:p w14:paraId="26D95178" w14:textId="77777777" w:rsidR="00BA02C5" w:rsidRPr="00EA25B4" w:rsidRDefault="00BA02C5" w:rsidP="005A6934">
      <w:pPr>
        <w:spacing w:after="120"/>
        <w:jc w:val="both"/>
        <w:rPr>
          <w:rFonts w:ascii="Trebuchet MS" w:hAnsi="Trebuchet MS"/>
          <w:color w:val="002060"/>
          <w:sz w:val="19"/>
          <w:szCs w:val="19"/>
        </w:rPr>
      </w:pPr>
      <w:r w:rsidRPr="00EA25B4">
        <w:rPr>
          <w:rFonts w:ascii="Trebuchet MS" w:hAnsi="Trebuchet MS"/>
          <w:color w:val="002060"/>
          <w:sz w:val="19"/>
          <w:szCs w:val="19"/>
        </w:rPr>
        <w:lastRenderedPageBreak/>
        <w:t xml:space="preserve">Per il </w:t>
      </w:r>
      <w:r w:rsidRPr="00EA25B4">
        <w:rPr>
          <w:rFonts w:ascii="Trebuchet MS" w:hAnsi="Trebuchet MS"/>
          <w:b/>
          <w:color w:val="002060"/>
          <w:sz w:val="19"/>
          <w:szCs w:val="19"/>
        </w:rPr>
        <w:t>Target 2.3</w:t>
      </w:r>
      <w:r w:rsidRPr="00EA25B4">
        <w:rPr>
          <w:rFonts w:ascii="Trebuchet MS" w:hAnsi="Trebuchet MS"/>
          <w:color w:val="002060"/>
          <w:sz w:val="19"/>
          <w:szCs w:val="19"/>
        </w:rPr>
        <w:t>, la produttività dei fattori rappresenta un indicatore chiave per misurare l’efficienza nell’ut</w:t>
      </w:r>
      <w:r w:rsidR="00B6614B" w:rsidRPr="00EA25B4">
        <w:rPr>
          <w:rFonts w:ascii="Trebuchet MS" w:hAnsi="Trebuchet MS"/>
          <w:color w:val="002060"/>
          <w:sz w:val="19"/>
          <w:szCs w:val="19"/>
        </w:rPr>
        <w:t xml:space="preserve">ilizzo delle risorse economiche, </w:t>
      </w:r>
      <w:r w:rsidRPr="00EA25B4">
        <w:rPr>
          <w:rFonts w:ascii="Trebuchet MS" w:hAnsi="Trebuchet MS"/>
          <w:color w:val="002060"/>
          <w:sz w:val="19"/>
          <w:szCs w:val="19"/>
        </w:rPr>
        <w:t xml:space="preserve">ma soffermarsi sul solo volume produttivo per ha di SAU non </w:t>
      </w:r>
      <w:r w:rsidR="00B6614B" w:rsidRPr="00EA25B4">
        <w:rPr>
          <w:rFonts w:ascii="Trebuchet MS" w:hAnsi="Trebuchet MS"/>
          <w:color w:val="002060"/>
          <w:sz w:val="19"/>
          <w:szCs w:val="19"/>
        </w:rPr>
        <w:t xml:space="preserve">consente l’assunzione di </w:t>
      </w:r>
      <w:r w:rsidRPr="00EA25B4">
        <w:rPr>
          <w:rFonts w:ascii="Trebuchet MS" w:hAnsi="Trebuchet MS"/>
          <w:color w:val="002060"/>
          <w:sz w:val="19"/>
          <w:szCs w:val="19"/>
        </w:rPr>
        <w:t xml:space="preserve">informazioni idonee a valutare la situazione attuale e soprattutto a monitorare l’evoluzione futura. Considerato che l’obiettivo del </w:t>
      </w:r>
      <w:r w:rsidR="00B6614B" w:rsidRPr="00EA25B4">
        <w:rPr>
          <w:rFonts w:ascii="Trebuchet MS" w:hAnsi="Trebuchet MS"/>
          <w:color w:val="002060"/>
          <w:sz w:val="19"/>
          <w:szCs w:val="19"/>
        </w:rPr>
        <w:t>T</w:t>
      </w:r>
      <w:r w:rsidRPr="00EA25B4">
        <w:rPr>
          <w:rFonts w:ascii="Trebuchet MS" w:hAnsi="Trebuchet MS"/>
          <w:color w:val="002060"/>
          <w:sz w:val="19"/>
          <w:szCs w:val="19"/>
        </w:rPr>
        <w:t xml:space="preserve">arget può essere letto per l’Italia in termini di “aumentare in reddito”, date le peculiarità della nostra economia agroalimentare sarebbe stato </w:t>
      </w:r>
      <w:r w:rsidR="00B6614B" w:rsidRPr="00EA25B4">
        <w:rPr>
          <w:rFonts w:ascii="Trebuchet MS" w:hAnsi="Trebuchet MS"/>
          <w:color w:val="002060"/>
          <w:sz w:val="19"/>
          <w:szCs w:val="19"/>
        </w:rPr>
        <w:t xml:space="preserve">preferibile porre l’attenzione </w:t>
      </w:r>
      <w:r w:rsidRPr="00EA25B4">
        <w:rPr>
          <w:rFonts w:ascii="Trebuchet MS" w:hAnsi="Trebuchet MS"/>
          <w:color w:val="002060"/>
          <w:sz w:val="19"/>
          <w:szCs w:val="19"/>
        </w:rPr>
        <w:t>non sulle variazioni del volume della produzione ma sul valore aggiunto</w:t>
      </w:r>
      <w:r w:rsidR="00B6614B" w:rsidRPr="00EA25B4">
        <w:rPr>
          <w:rFonts w:ascii="Trebuchet MS" w:hAnsi="Trebuchet MS"/>
          <w:color w:val="002060"/>
          <w:sz w:val="19"/>
          <w:szCs w:val="19"/>
        </w:rPr>
        <w:t>.</w:t>
      </w:r>
    </w:p>
    <w:p w14:paraId="7A17268E" w14:textId="77777777" w:rsidR="00BA02C5" w:rsidRPr="00EA25B4" w:rsidRDefault="00BA02C5"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Con riguardo al </w:t>
      </w:r>
      <w:r w:rsidRPr="00EA25B4">
        <w:rPr>
          <w:rFonts w:ascii="Trebuchet MS" w:hAnsi="Trebuchet MS"/>
          <w:b/>
          <w:color w:val="002060"/>
          <w:sz w:val="19"/>
          <w:szCs w:val="19"/>
        </w:rPr>
        <w:t>Target 2.4</w:t>
      </w:r>
      <w:r w:rsidRPr="00EA25B4">
        <w:rPr>
          <w:rFonts w:ascii="Trebuchet MS" w:hAnsi="Trebuchet MS"/>
          <w:color w:val="002060"/>
          <w:sz w:val="19"/>
          <w:szCs w:val="19"/>
        </w:rPr>
        <w:t xml:space="preserve">, si è deciso di valutare lo stato dell’Italia rispetto al solo indicatore </w:t>
      </w:r>
      <w:r w:rsidR="00107396" w:rsidRPr="00EA25B4">
        <w:rPr>
          <w:rFonts w:ascii="Trebuchet MS" w:hAnsi="Trebuchet MS"/>
          <w:color w:val="002060"/>
          <w:sz w:val="19"/>
          <w:szCs w:val="19"/>
        </w:rPr>
        <w:t>IAEG-SDGs</w:t>
      </w:r>
      <w:r w:rsidRPr="00EA25B4">
        <w:rPr>
          <w:rFonts w:ascii="Trebuchet MS" w:hAnsi="Trebuchet MS"/>
          <w:color w:val="002060"/>
          <w:sz w:val="19"/>
          <w:szCs w:val="19"/>
        </w:rPr>
        <w:t>, superficie destinata a pratiche di agricoltura definite sostenibili, ovvero SAU coltivata ad agricoltura biologica, avendosi così una visione limitata del campo di intervento. Si consiglia di utilizzare l’indice di Agricoltura Sostenibile messo a punto dall’ISTAT. In alternativa, potrebbero essere scelti degli indicatori che valutino aspetti definiti delle relazioni tra Ambiente e Agricoltura: in particolare, per garantire l’uso efficiente delle risorse naturali e la riduzione delle esternalità negative, si potrebbero considerare gli indicatori Ispra – Annuario Ambiente – Sezione Agricoltura.</w:t>
      </w:r>
    </w:p>
    <w:p w14:paraId="652F1E1A" w14:textId="77777777" w:rsidR="00BA02C5" w:rsidRDefault="00BA02C5"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Sul </w:t>
      </w:r>
      <w:r w:rsidRPr="00EA25B4">
        <w:rPr>
          <w:rFonts w:ascii="Trebuchet MS" w:hAnsi="Trebuchet MS"/>
          <w:b/>
          <w:color w:val="002060"/>
          <w:sz w:val="19"/>
          <w:szCs w:val="19"/>
        </w:rPr>
        <w:t>Target 2.5</w:t>
      </w:r>
      <w:r w:rsidRPr="00EA25B4">
        <w:rPr>
          <w:rFonts w:ascii="Trebuchet MS" w:hAnsi="Trebuchet MS"/>
          <w:color w:val="002060"/>
          <w:sz w:val="19"/>
          <w:szCs w:val="19"/>
        </w:rPr>
        <w:t xml:space="preserve">, la biodiversità è una tematica trasversale al </w:t>
      </w:r>
      <w:r w:rsidR="00AF5386" w:rsidRPr="00EA25B4">
        <w:rPr>
          <w:rFonts w:ascii="Trebuchet MS" w:hAnsi="Trebuchet MS"/>
          <w:color w:val="002060"/>
          <w:sz w:val="19"/>
          <w:szCs w:val="19"/>
        </w:rPr>
        <w:t>Goal</w:t>
      </w:r>
      <w:r w:rsidRPr="00EA25B4">
        <w:rPr>
          <w:rFonts w:ascii="Trebuchet MS" w:hAnsi="Trebuchet MS"/>
          <w:color w:val="002060"/>
          <w:sz w:val="19"/>
          <w:szCs w:val="19"/>
        </w:rPr>
        <w:t xml:space="preserve"> 2</w:t>
      </w:r>
      <w:r w:rsidR="00B6614B" w:rsidRPr="00EA25B4">
        <w:rPr>
          <w:rFonts w:ascii="Trebuchet MS" w:hAnsi="Trebuchet MS"/>
          <w:color w:val="002060"/>
          <w:sz w:val="19"/>
          <w:szCs w:val="19"/>
        </w:rPr>
        <w:t>:</w:t>
      </w:r>
      <w:r w:rsidRPr="00EA25B4">
        <w:rPr>
          <w:rFonts w:ascii="Trebuchet MS" w:hAnsi="Trebuchet MS"/>
          <w:color w:val="002060"/>
          <w:sz w:val="19"/>
          <w:szCs w:val="19"/>
        </w:rPr>
        <w:t xml:space="preserve"> focalizzarsi </w:t>
      </w:r>
      <w:r w:rsidR="00B6614B" w:rsidRPr="00EA25B4">
        <w:rPr>
          <w:rFonts w:ascii="Trebuchet MS" w:hAnsi="Trebuchet MS"/>
          <w:color w:val="002060"/>
          <w:sz w:val="19"/>
          <w:szCs w:val="19"/>
        </w:rPr>
        <w:t xml:space="preserve">sui soli </w:t>
      </w:r>
      <w:r w:rsidRPr="00EA25B4">
        <w:rPr>
          <w:rFonts w:ascii="Trebuchet MS" w:hAnsi="Trebuchet MS"/>
          <w:color w:val="002060"/>
          <w:sz w:val="19"/>
          <w:szCs w:val="19"/>
        </w:rPr>
        <w:t>prodotti tipici, per quanto possano ritenersi un’espressione della sua tutela, è riduttivo e, pertanto, la valutazione positiva del Target non risponde alla realtà. Si suggerisce Utilizzo Banche germoplasma, Rete Ribes mentre, per quanto riguarda il secondo indicatore «Numero di razze classificate come a rischio», potrebbero essere utilizzati i Repertori regionali di agrobiodiversità, incrociandoli con i dati delle varie associazioni di allevamento. Mancano inoltre indicazioni per «promuovere l'accesso e la giusta ed equa condivisione dei benefici derivanti dall'utilizzo delle risorse genetiche e delle conoscenze tradizionali collegate, come concordato a livello internazionale». Su questo aspetto si potrebbero Valutare gli incentivi utilizzati nella Programmazione 2007-2013 per la misura 214 "Pagamenti Agroambientali"</w:t>
      </w:r>
    </w:p>
    <w:p w14:paraId="5BA2C9D9" w14:textId="77777777" w:rsidR="00D17E6C" w:rsidRDefault="00D17E6C" w:rsidP="005A6934">
      <w:pPr>
        <w:spacing w:after="120"/>
        <w:jc w:val="both"/>
        <w:rPr>
          <w:rFonts w:ascii="Trebuchet MS" w:hAnsi="Trebuchet MS"/>
          <w:color w:val="002060"/>
          <w:sz w:val="19"/>
          <w:szCs w:val="19"/>
        </w:rPr>
      </w:pPr>
      <w:r>
        <w:rPr>
          <w:rFonts w:ascii="Trebuchet MS" w:hAnsi="Trebuchet MS"/>
          <w:color w:val="002060"/>
          <w:sz w:val="19"/>
          <w:szCs w:val="19"/>
        </w:rPr>
        <w:t>Infine</w:t>
      </w:r>
      <w:r w:rsidR="00165BF4">
        <w:rPr>
          <w:rFonts w:ascii="Trebuchet MS" w:hAnsi="Trebuchet MS"/>
          <w:color w:val="002060"/>
          <w:sz w:val="19"/>
          <w:szCs w:val="19"/>
        </w:rPr>
        <w:t xml:space="preserve"> </w:t>
      </w:r>
      <w:r w:rsidR="00165BF4" w:rsidRPr="00165BF4">
        <w:rPr>
          <w:rFonts w:ascii="Trebuchet MS" w:hAnsi="Trebuchet MS"/>
          <w:color w:val="002060"/>
          <w:sz w:val="19"/>
          <w:szCs w:val="19"/>
        </w:rPr>
        <w:t>“l’</w:t>
      </w:r>
      <w:r w:rsidR="00165BF4">
        <w:rPr>
          <w:rFonts w:ascii="Trebuchet MS" w:hAnsi="Trebuchet MS"/>
          <w:color w:val="002060"/>
          <w:sz w:val="19"/>
          <w:szCs w:val="19"/>
        </w:rPr>
        <w:t xml:space="preserve">agenda esterna”, che riguarda </w:t>
      </w:r>
      <w:r w:rsidR="00165BF4" w:rsidRPr="00165BF4">
        <w:rPr>
          <w:rFonts w:ascii="Trebuchet MS" w:hAnsi="Trebuchet MS"/>
          <w:color w:val="002060"/>
          <w:sz w:val="19"/>
          <w:szCs w:val="19"/>
        </w:rPr>
        <w:t xml:space="preserve">la cooperazione agricola, di fatto </w:t>
      </w:r>
      <w:r>
        <w:rPr>
          <w:rFonts w:ascii="Trebuchet MS" w:hAnsi="Trebuchet MS"/>
          <w:color w:val="002060"/>
          <w:sz w:val="19"/>
          <w:szCs w:val="19"/>
        </w:rPr>
        <w:t xml:space="preserve">si </w:t>
      </w:r>
      <w:r w:rsidR="00165BF4" w:rsidRPr="00165BF4">
        <w:rPr>
          <w:rFonts w:ascii="Trebuchet MS" w:hAnsi="Trebuchet MS"/>
          <w:color w:val="002060"/>
          <w:sz w:val="19"/>
          <w:szCs w:val="19"/>
        </w:rPr>
        <w:t>focalizza esclusivamente sull’aumen</w:t>
      </w:r>
      <w:r w:rsidR="00165BF4">
        <w:rPr>
          <w:rFonts w:ascii="Trebuchet MS" w:hAnsi="Trebuchet MS"/>
          <w:color w:val="002060"/>
          <w:sz w:val="19"/>
          <w:szCs w:val="19"/>
        </w:rPr>
        <w:t>to della produzione sostenibile</w:t>
      </w:r>
      <w:r w:rsidR="00165BF4" w:rsidRPr="00165BF4">
        <w:rPr>
          <w:rFonts w:ascii="Trebuchet MS" w:hAnsi="Trebuchet MS"/>
          <w:color w:val="002060"/>
          <w:sz w:val="19"/>
          <w:szCs w:val="19"/>
        </w:rPr>
        <w:t xml:space="preserve"> e non include altri settori fondamentali </w:t>
      </w:r>
      <w:r w:rsidR="00696A2A">
        <w:rPr>
          <w:rFonts w:ascii="Trebuchet MS" w:hAnsi="Trebuchet MS"/>
          <w:color w:val="002060"/>
          <w:sz w:val="19"/>
          <w:szCs w:val="19"/>
        </w:rPr>
        <w:t>per</w:t>
      </w:r>
      <w:r w:rsidR="00165BF4" w:rsidRPr="00165BF4">
        <w:rPr>
          <w:rFonts w:ascii="Trebuchet MS" w:hAnsi="Trebuchet MS"/>
          <w:color w:val="002060"/>
          <w:sz w:val="19"/>
          <w:szCs w:val="19"/>
        </w:rPr>
        <w:t xml:space="preserve"> una strategia di lotta alla fame come la sicurezza alimentare, nutrizionale e sviluppo rurale.</w:t>
      </w:r>
    </w:p>
    <w:p w14:paraId="0F267415" w14:textId="77777777" w:rsidR="00D17E6C" w:rsidRPr="00EA25B4" w:rsidRDefault="00D17E6C" w:rsidP="005A6934">
      <w:pPr>
        <w:spacing w:after="120"/>
        <w:jc w:val="both"/>
        <w:rPr>
          <w:rFonts w:ascii="Trebuchet MS" w:hAnsi="Trebuchet MS"/>
          <w:color w:val="002060"/>
          <w:sz w:val="19"/>
          <w:szCs w:val="19"/>
        </w:rPr>
      </w:pPr>
    </w:p>
    <w:p w14:paraId="514012D5" w14:textId="77777777" w:rsidR="00804154" w:rsidRDefault="008D1050" w:rsidP="005A6934">
      <w:pPr>
        <w:spacing w:after="120"/>
        <w:jc w:val="both"/>
        <w:rPr>
          <w:rFonts w:ascii="Trebuchet MS" w:hAnsi="Trebuchet MS"/>
          <w:color w:val="002060"/>
          <w:sz w:val="19"/>
          <w:szCs w:val="19"/>
        </w:rPr>
      </w:pPr>
      <w:r w:rsidRPr="00EA25B4">
        <w:rPr>
          <w:rFonts w:ascii="Trebuchet MS" w:hAnsi="Trebuchet MS"/>
          <w:color w:val="002060"/>
          <w:sz w:val="19"/>
          <w:szCs w:val="19"/>
          <w:u w:val="single"/>
        </w:rPr>
        <w:t>Obiettivo 3 – Salute e benessere</w:t>
      </w:r>
    </w:p>
    <w:p w14:paraId="221F60FA" w14:textId="77777777" w:rsidR="00605E75" w:rsidRDefault="00605E75" w:rsidP="005A6934">
      <w:pPr>
        <w:spacing w:after="120"/>
        <w:jc w:val="both"/>
        <w:rPr>
          <w:rFonts w:ascii="Trebuchet MS" w:hAnsi="Trebuchet MS"/>
          <w:color w:val="002060"/>
          <w:sz w:val="19"/>
          <w:szCs w:val="19"/>
        </w:rPr>
      </w:pPr>
      <w:r>
        <w:rPr>
          <w:rFonts w:ascii="Trebuchet MS" w:hAnsi="Trebuchet MS"/>
          <w:color w:val="002060"/>
          <w:sz w:val="19"/>
          <w:szCs w:val="19"/>
        </w:rPr>
        <w:t>Per quanto concerne l’Obiettivo 3, m</w:t>
      </w:r>
      <w:r w:rsidRPr="00605E75">
        <w:rPr>
          <w:rFonts w:ascii="Trebuchet MS" w:hAnsi="Trebuchet MS"/>
          <w:color w:val="002060"/>
          <w:sz w:val="19"/>
          <w:szCs w:val="19"/>
        </w:rPr>
        <w:t>olte fenomenologie e problematiche della salute e della sanità in Italia, come per altri paesi sviluppati, non trovano riscontro adeguato negli indicatori d</w:t>
      </w:r>
      <w:r>
        <w:rPr>
          <w:rFonts w:ascii="Trebuchet MS" w:hAnsi="Trebuchet MS"/>
          <w:color w:val="002060"/>
          <w:sz w:val="19"/>
          <w:szCs w:val="19"/>
        </w:rPr>
        <w:t>isponibili e comunemente in uso</w:t>
      </w:r>
      <w:r w:rsidR="00956815">
        <w:rPr>
          <w:rFonts w:ascii="Trebuchet MS" w:hAnsi="Trebuchet MS"/>
          <w:color w:val="002060"/>
          <w:sz w:val="19"/>
          <w:szCs w:val="19"/>
        </w:rPr>
        <w:t xml:space="preserve">. </w:t>
      </w:r>
      <w:r w:rsidRPr="00605E75">
        <w:rPr>
          <w:rFonts w:ascii="Trebuchet MS" w:hAnsi="Trebuchet MS"/>
          <w:color w:val="002060"/>
          <w:sz w:val="19"/>
          <w:szCs w:val="19"/>
        </w:rPr>
        <w:t>In generale</w:t>
      </w:r>
      <w:r w:rsidR="00956815">
        <w:rPr>
          <w:rFonts w:ascii="Trebuchet MS" w:hAnsi="Trebuchet MS"/>
          <w:color w:val="002060"/>
          <w:sz w:val="19"/>
          <w:szCs w:val="19"/>
        </w:rPr>
        <w:t>,</w:t>
      </w:r>
      <w:r w:rsidRPr="00605E75">
        <w:rPr>
          <w:rFonts w:ascii="Trebuchet MS" w:hAnsi="Trebuchet MS"/>
          <w:color w:val="002060"/>
          <w:sz w:val="19"/>
          <w:szCs w:val="19"/>
        </w:rPr>
        <w:t xml:space="preserve"> andrebbe quindi anteposto all’analisi degli indicatori relativi ai target del goal 3 per un paese come l’Italia un ragionamento introduttivo, che spieghi come la situazione della salute si presenti in maniera molto positiva per il raggiungimento di molti degli obiettivi Onu, per la elevata speranza di vita, per il controllo della maggior parte delle patologie, soprattutto quelle acute e trasmissibili, e per l’universalismo del suo sistema di offerta, il Servizio sanitario nazionale e quelli regionali. Al tempo stesso vanno però segnalate alcune criticità, tipiche dei paesi avanzati economicamente e socialmente, che riguardano: la sostenibilità economica di un sistema di offerta sempre più costoso ed esigente; la sostenibilità sociale di una domanda di servizi caratterizzata da presenza crescente di anziani e disabili; la qualità percepita in termini di umanizzazione ed empowerment, l’equità sociale, soprattutto relativamente ai tempi ed alle procedure di accesso ai servizi ed alla disponibilità dell’offerta sul territorio; il peggioramento o il mancato miglioramento di alcuni aspetti degli stili di vita importanti per la salute; la necessità di integrare maggiormente servizi sanitari e sociali e di sviluppare maggiormente, sia quantitativamente che qualitativamente, la sanità del territorio, sia preventiva, che curativa e riabilitativa.</w:t>
      </w:r>
    </w:p>
    <w:p w14:paraId="28D82A5E" w14:textId="77777777" w:rsidR="00605E75" w:rsidRDefault="00605E75" w:rsidP="005A6934">
      <w:pPr>
        <w:spacing w:after="120"/>
        <w:jc w:val="both"/>
        <w:rPr>
          <w:rFonts w:ascii="Trebuchet MS" w:hAnsi="Trebuchet MS"/>
          <w:color w:val="002060"/>
          <w:sz w:val="19"/>
          <w:szCs w:val="19"/>
        </w:rPr>
      </w:pPr>
      <w:r w:rsidRPr="00605E75">
        <w:rPr>
          <w:rFonts w:ascii="Trebuchet MS" w:hAnsi="Trebuchet MS"/>
          <w:color w:val="002060"/>
          <w:sz w:val="19"/>
          <w:szCs w:val="19"/>
        </w:rPr>
        <w:t>Rispetto ad alcuni specifici Target del Goal 3, come trattati nel Rapporto del Ministero, si specifica inoltre quanto segue.</w:t>
      </w:r>
    </w:p>
    <w:p w14:paraId="07DE1FEF" w14:textId="77777777" w:rsidR="005B1315" w:rsidRPr="00EA25B4" w:rsidRDefault="005B1315"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Con riguardo al </w:t>
      </w:r>
      <w:r w:rsidR="00B6614B" w:rsidRPr="00EA25B4">
        <w:rPr>
          <w:rFonts w:ascii="Trebuchet MS" w:hAnsi="Trebuchet MS"/>
          <w:b/>
          <w:color w:val="002060"/>
          <w:sz w:val="19"/>
          <w:szCs w:val="19"/>
        </w:rPr>
        <w:t>T</w:t>
      </w:r>
      <w:r w:rsidRPr="00EA25B4">
        <w:rPr>
          <w:rFonts w:ascii="Trebuchet MS" w:hAnsi="Trebuchet MS"/>
          <w:b/>
          <w:color w:val="002060"/>
          <w:sz w:val="19"/>
          <w:szCs w:val="19"/>
        </w:rPr>
        <w:t>arget 3.3</w:t>
      </w:r>
      <w:r w:rsidR="00B6614B" w:rsidRPr="00EA25B4">
        <w:rPr>
          <w:rFonts w:ascii="Trebuchet MS" w:hAnsi="Trebuchet MS"/>
          <w:color w:val="002060"/>
          <w:sz w:val="19"/>
          <w:szCs w:val="19"/>
        </w:rPr>
        <w:t xml:space="preserve">, </w:t>
      </w:r>
      <w:r w:rsidRPr="00EA25B4">
        <w:rPr>
          <w:rFonts w:ascii="Trebuchet MS" w:hAnsi="Trebuchet MS"/>
          <w:color w:val="002060"/>
          <w:sz w:val="19"/>
          <w:szCs w:val="19"/>
        </w:rPr>
        <w:t>si consiglia di fare riferimento anche ad altre malattie sessualmente trasmissibili</w:t>
      </w:r>
      <w:r w:rsidR="00956815" w:rsidRPr="00956815">
        <w:rPr>
          <w:rFonts w:ascii="Trebuchet MS" w:hAnsi="Trebuchet MS"/>
          <w:color w:val="002060"/>
          <w:sz w:val="19"/>
          <w:szCs w:val="19"/>
        </w:rPr>
        <w:t xml:space="preserve"> </w:t>
      </w:r>
      <w:r w:rsidR="00956815" w:rsidRPr="00EA25B4">
        <w:rPr>
          <w:rFonts w:ascii="Trebuchet MS" w:hAnsi="Trebuchet MS"/>
          <w:color w:val="002060"/>
          <w:sz w:val="19"/>
          <w:szCs w:val="19"/>
        </w:rPr>
        <w:t>oltre all’HIV</w:t>
      </w:r>
      <w:r w:rsidRPr="00EA25B4">
        <w:rPr>
          <w:rFonts w:ascii="Trebuchet MS" w:hAnsi="Trebuchet MS"/>
          <w:color w:val="002060"/>
          <w:sz w:val="19"/>
          <w:szCs w:val="19"/>
        </w:rPr>
        <w:t>.</w:t>
      </w:r>
    </w:p>
    <w:p w14:paraId="6F7BC7BF" w14:textId="77777777" w:rsidR="00B6614B" w:rsidRPr="00EA25B4" w:rsidRDefault="005B1315"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Sul </w:t>
      </w:r>
      <w:r w:rsidR="00B6614B" w:rsidRPr="00EA25B4">
        <w:rPr>
          <w:rFonts w:ascii="Trebuchet MS" w:hAnsi="Trebuchet MS"/>
          <w:b/>
          <w:color w:val="002060"/>
          <w:sz w:val="19"/>
          <w:szCs w:val="19"/>
        </w:rPr>
        <w:t>Target</w:t>
      </w:r>
      <w:r w:rsidRPr="00EA25B4">
        <w:rPr>
          <w:rFonts w:ascii="Trebuchet MS" w:hAnsi="Trebuchet MS"/>
          <w:b/>
          <w:color w:val="002060"/>
          <w:sz w:val="19"/>
          <w:szCs w:val="19"/>
        </w:rPr>
        <w:t xml:space="preserve"> 3.4</w:t>
      </w:r>
      <w:r w:rsidRPr="00EA25B4">
        <w:rPr>
          <w:rFonts w:ascii="Trebuchet MS" w:hAnsi="Trebuchet MS"/>
          <w:color w:val="002060"/>
          <w:sz w:val="19"/>
          <w:szCs w:val="19"/>
        </w:rPr>
        <w:t xml:space="preserve">. sarebbe utile integrare i due indicatori prescelti per questo </w:t>
      </w:r>
      <w:r w:rsidR="00B6614B" w:rsidRPr="00EA25B4">
        <w:rPr>
          <w:rFonts w:ascii="Trebuchet MS" w:hAnsi="Trebuchet MS"/>
          <w:color w:val="002060"/>
          <w:sz w:val="19"/>
          <w:szCs w:val="19"/>
        </w:rPr>
        <w:t>T</w:t>
      </w:r>
      <w:r w:rsidRPr="00EA25B4">
        <w:rPr>
          <w:rFonts w:ascii="Trebuchet MS" w:hAnsi="Trebuchet MS"/>
          <w:color w:val="002060"/>
          <w:sz w:val="19"/>
          <w:szCs w:val="19"/>
        </w:rPr>
        <w:t>arget (mortalità per patologie cardio-circolatorie, tumori, diabete e malattie respiratorie croniche; mortalità per suicidi) con alcuni ulteriori indicatori di fonte Istat, Iss e Centri studi universitari e non (purché affidabili):</w:t>
      </w:r>
    </w:p>
    <w:p w14:paraId="7AAAE5DE" w14:textId="77777777" w:rsidR="005B1315" w:rsidRPr="00EA25B4" w:rsidRDefault="005B1315" w:rsidP="005A6934">
      <w:pPr>
        <w:pStyle w:val="Paragrafoelenco"/>
        <w:numPr>
          <w:ilvl w:val="0"/>
          <w:numId w:val="5"/>
        </w:numPr>
        <w:spacing w:after="120"/>
        <w:ind w:left="426"/>
        <w:contextualSpacing w:val="0"/>
        <w:jc w:val="both"/>
        <w:rPr>
          <w:rFonts w:ascii="Trebuchet MS" w:hAnsi="Trebuchet MS"/>
          <w:color w:val="002060"/>
          <w:sz w:val="19"/>
          <w:szCs w:val="19"/>
        </w:rPr>
      </w:pPr>
      <w:r w:rsidRPr="00EA25B4">
        <w:rPr>
          <w:rFonts w:ascii="Trebuchet MS" w:hAnsi="Trebuchet MS"/>
          <w:color w:val="002060"/>
          <w:sz w:val="19"/>
          <w:szCs w:val="19"/>
        </w:rPr>
        <w:lastRenderedPageBreak/>
        <w:t>relativi alla prevenzione precoce e relativa spesa, agli stili di vita ed alla obesità, alla equità di accesso a prevenzione, cura e riabilitazione, per quanto riguarda le patologie del primo indicatore, in quanto il buon risultato medio nasconde alcune differenze eclatanti ed alcune lacune da non trascurare;</w:t>
      </w:r>
    </w:p>
    <w:p w14:paraId="09415CAE" w14:textId="77777777" w:rsidR="00B6614B" w:rsidRPr="00EA25B4" w:rsidRDefault="005B1315" w:rsidP="005A6934">
      <w:pPr>
        <w:pStyle w:val="Paragrafoelenco"/>
        <w:numPr>
          <w:ilvl w:val="0"/>
          <w:numId w:val="5"/>
        </w:numPr>
        <w:spacing w:after="120"/>
        <w:ind w:left="426"/>
        <w:contextualSpacing w:val="0"/>
        <w:jc w:val="both"/>
        <w:rPr>
          <w:rFonts w:ascii="Trebuchet MS" w:hAnsi="Trebuchet MS"/>
          <w:color w:val="002060"/>
          <w:sz w:val="19"/>
          <w:szCs w:val="19"/>
        </w:rPr>
      </w:pPr>
      <w:r w:rsidRPr="00EA25B4">
        <w:rPr>
          <w:rFonts w:ascii="Trebuchet MS" w:hAnsi="Trebuchet MS"/>
          <w:color w:val="002060"/>
          <w:sz w:val="19"/>
          <w:szCs w:val="19"/>
        </w:rPr>
        <w:t>relativi alla incidenza delle patologie croniche per età (alcune elaborazioni a cura della Facoltà di Economia di Tor Vergata segnalano ad esempio un abbassamento della età media di insorgenza di alcune di queste patologie) per i medesimi aspetti;</w:t>
      </w:r>
    </w:p>
    <w:p w14:paraId="2B8D2966" w14:textId="77777777" w:rsidR="005B1315" w:rsidRPr="00EA25B4" w:rsidRDefault="005B1315" w:rsidP="005A6934">
      <w:pPr>
        <w:pStyle w:val="Paragrafoelenco"/>
        <w:numPr>
          <w:ilvl w:val="0"/>
          <w:numId w:val="5"/>
        </w:numPr>
        <w:spacing w:after="120"/>
        <w:ind w:left="426"/>
        <w:contextualSpacing w:val="0"/>
        <w:jc w:val="both"/>
        <w:rPr>
          <w:rFonts w:ascii="Trebuchet MS" w:hAnsi="Trebuchet MS"/>
          <w:color w:val="002060"/>
          <w:sz w:val="19"/>
          <w:szCs w:val="19"/>
        </w:rPr>
      </w:pPr>
      <w:r w:rsidRPr="00EA25B4">
        <w:rPr>
          <w:rFonts w:ascii="Trebuchet MS" w:hAnsi="Trebuchet MS"/>
          <w:color w:val="002060"/>
          <w:sz w:val="19"/>
          <w:szCs w:val="19"/>
        </w:rPr>
        <w:t>relativi al benessere psicologico, all’uso di psicofarmaci ed al disagio psichico, per quanto riguarda il tema delle patologie psichiche e del disagio psicologico rappresentato solo parzialmente dall’indicatore dei suicidi.</w:t>
      </w:r>
    </w:p>
    <w:p w14:paraId="6179EBA5" w14:textId="77777777" w:rsidR="005B1315" w:rsidRPr="00EA25B4" w:rsidRDefault="005B1315"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Con riferimento al </w:t>
      </w:r>
      <w:r w:rsidR="00B6614B" w:rsidRPr="00EA25B4">
        <w:rPr>
          <w:rFonts w:ascii="Trebuchet MS" w:hAnsi="Trebuchet MS"/>
          <w:b/>
          <w:color w:val="002060"/>
          <w:sz w:val="19"/>
          <w:szCs w:val="19"/>
        </w:rPr>
        <w:t>T</w:t>
      </w:r>
      <w:r w:rsidRPr="00EA25B4">
        <w:rPr>
          <w:rFonts w:ascii="Trebuchet MS" w:hAnsi="Trebuchet MS"/>
          <w:b/>
          <w:color w:val="002060"/>
          <w:sz w:val="19"/>
          <w:szCs w:val="19"/>
        </w:rPr>
        <w:t>arget 3.6</w:t>
      </w:r>
      <w:r w:rsidRPr="00EA25B4">
        <w:rPr>
          <w:rFonts w:ascii="Trebuchet MS" w:hAnsi="Trebuchet MS"/>
          <w:color w:val="002060"/>
          <w:sz w:val="19"/>
          <w:szCs w:val="19"/>
        </w:rPr>
        <w:t xml:space="preserve">, </w:t>
      </w:r>
      <w:r w:rsidR="00B6614B" w:rsidRPr="00EA25B4">
        <w:rPr>
          <w:rFonts w:ascii="Trebuchet MS" w:hAnsi="Trebuchet MS"/>
          <w:color w:val="002060"/>
          <w:sz w:val="19"/>
          <w:szCs w:val="19"/>
        </w:rPr>
        <w:t xml:space="preserve">si ritiene </w:t>
      </w:r>
      <w:r w:rsidRPr="00EA25B4">
        <w:rPr>
          <w:rFonts w:ascii="Trebuchet MS" w:hAnsi="Trebuchet MS"/>
          <w:color w:val="002060"/>
          <w:sz w:val="19"/>
          <w:szCs w:val="19"/>
        </w:rPr>
        <w:t xml:space="preserve">opportuno distinguere fra tasso di </w:t>
      </w:r>
      <w:r w:rsidR="00B6614B" w:rsidRPr="00EA25B4">
        <w:rPr>
          <w:rFonts w:ascii="Trebuchet MS" w:hAnsi="Trebuchet MS"/>
          <w:color w:val="002060"/>
          <w:sz w:val="19"/>
          <w:szCs w:val="19"/>
        </w:rPr>
        <w:t>mortalità e numero di incidenti. Ancora, sarebbe o</w:t>
      </w:r>
      <w:r w:rsidRPr="00EA25B4">
        <w:rPr>
          <w:rFonts w:ascii="Trebuchet MS" w:hAnsi="Trebuchet MS"/>
          <w:color w:val="002060"/>
          <w:sz w:val="19"/>
          <w:szCs w:val="19"/>
        </w:rPr>
        <w:t xml:space="preserve">pportuno considerare anche i dati del 2015, anno nel quale i decessi sono tornati ad aumentare per la prima volta dopo quindici anni sia in Italia (+1,1%) che in Europa (+1,3%); </w:t>
      </w:r>
      <w:r w:rsidR="00CA4189" w:rsidRPr="00EA25B4">
        <w:rPr>
          <w:rFonts w:ascii="Trebuchet MS" w:hAnsi="Trebuchet MS"/>
          <w:color w:val="002060"/>
          <w:sz w:val="19"/>
          <w:szCs w:val="19"/>
        </w:rPr>
        <w:t xml:space="preserve">non si condivide, invece, la scelta di </w:t>
      </w:r>
      <w:r w:rsidRPr="00EA25B4">
        <w:rPr>
          <w:rFonts w:ascii="Trebuchet MS" w:hAnsi="Trebuchet MS"/>
          <w:color w:val="002060"/>
          <w:sz w:val="19"/>
          <w:szCs w:val="19"/>
        </w:rPr>
        <w:t>usare i dati Onu del 2013, che non colgono la situazione di peggioramento della sicurezza annunciata nel 2014 e confer</w:t>
      </w:r>
      <w:r w:rsidR="00CA4189" w:rsidRPr="00EA25B4">
        <w:rPr>
          <w:rFonts w:ascii="Trebuchet MS" w:hAnsi="Trebuchet MS"/>
          <w:color w:val="002060"/>
          <w:sz w:val="19"/>
          <w:szCs w:val="19"/>
        </w:rPr>
        <w:t xml:space="preserve">mata nel 2015. Può essere utile, </w:t>
      </w:r>
      <w:r w:rsidRPr="00EA25B4">
        <w:rPr>
          <w:rFonts w:ascii="Trebuchet MS" w:hAnsi="Trebuchet MS"/>
          <w:color w:val="002060"/>
          <w:sz w:val="19"/>
          <w:szCs w:val="19"/>
        </w:rPr>
        <w:t>infine</w:t>
      </w:r>
      <w:r w:rsidR="00CA4189" w:rsidRPr="00EA25B4">
        <w:rPr>
          <w:rFonts w:ascii="Trebuchet MS" w:hAnsi="Trebuchet MS"/>
          <w:color w:val="002060"/>
          <w:sz w:val="19"/>
          <w:szCs w:val="19"/>
        </w:rPr>
        <w:t xml:space="preserve">, </w:t>
      </w:r>
      <w:r w:rsidRPr="00EA25B4">
        <w:rPr>
          <w:rFonts w:ascii="Trebuchet MS" w:hAnsi="Trebuchet MS"/>
          <w:color w:val="002060"/>
          <w:sz w:val="19"/>
          <w:szCs w:val="19"/>
        </w:rPr>
        <w:t>per questo punto osservare i primi dati sugli incidenti stradali del 2016, pubblicati dall’Aci - Istat il 19 dicembre 2016 e raccolti da Polizia Stradale e Arma dei carabinieri per un campione di 172 Comuni, che registrano un calo delle vittime del 4,</w:t>
      </w:r>
      <w:r w:rsidR="00CA4189" w:rsidRPr="00EA25B4">
        <w:rPr>
          <w:rFonts w:ascii="Trebuchet MS" w:hAnsi="Trebuchet MS"/>
          <w:color w:val="002060"/>
          <w:sz w:val="19"/>
          <w:szCs w:val="19"/>
        </w:rPr>
        <w:t xml:space="preserve">7% </w:t>
      </w:r>
      <w:r w:rsidRPr="00EA25B4">
        <w:rPr>
          <w:rFonts w:ascii="Trebuchet MS" w:hAnsi="Trebuchet MS"/>
          <w:color w:val="002060"/>
          <w:sz w:val="19"/>
          <w:szCs w:val="19"/>
        </w:rPr>
        <w:t>rispetto al 2015, del 25,6% rispetto allo stesso periodo nel 2010 e rispetto al 2001 del 55,4%</w:t>
      </w:r>
      <w:r w:rsidR="00CA4189" w:rsidRPr="00EA25B4">
        <w:rPr>
          <w:rFonts w:ascii="Trebuchet MS" w:hAnsi="Trebuchet MS"/>
          <w:color w:val="002060"/>
          <w:sz w:val="19"/>
          <w:szCs w:val="19"/>
        </w:rPr>
        <w:t>.</w:t>
      </w:r>
    </w:p>
    <w:p w14:paraId="1D51FE9F" w14:textId="77777777" w:rsidR="005B1315" w:rsidRPr="00EA25B4" w:rsidRDefault="00CA4189"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Il </w:t>
      </w:r>
      <w:r w:rsidRPr="00EA25B4">
        <w:rPr>
          <w:rFonts w:ascii="Trebuchet MS" w:hAnsi="Trebuchet MS"/>
          <w:b/>
          <w:color w:val="002060"/>
          <w:sz w:val="19"/>
          <w:szCs w:val="19"/>
        </w:rPr>
        <w:t>Target 3.8</w:t>
      </w:r>
      <w:r w:rsidR="005B1315" w:rsidRPr="00EA25B4">
        <w:rPr>
          <w:rFonts w:ascii="Trebuchet MS" w:hAnsi="Trebuchet MS"/>
          <w:color w:val="002060"/>
          <w:sz w:val="19"/>
          <w:szCs w:val="19"/>
        </w:rPr>
        <w:t xml:space="preserve"> tratta quella che può essere considerata la criticità principale della salute e della sanità nei paesi avanzati ed in Italia. In tal senso sarebbe auspicabile integrare gli indicatori selezionati con altri, in parte già citati anche nel Rapporto del Ministero (liste di attesa secondo il Ministero della Salute e bisogni insoddisfatti per problemi economici in base al reddito secondo Eurostat), in parte ulteriori (principalmente di fonte Istat e Inps), e cioè:</w:t>
      </w:r>
    </w:p>
    <w:p w14:paraId="6DA1DFE4" w14:textId="77777777" w:rsidR="002B1F71" w:rsidRPr="00EA25B4" w:rsidRDefault="005B1315" w:rsidP="005A6934">
      <w:pPr>
        <w:pStyle w:val="Paragrafoelenco"/>
        <w:numPr>
          <w:ilvl w:val="0"/>
          <w:numId w:val="5"/>
        </w:numPr>
        <w:spacing w:after="120"/>
        <w:contextualSpacing w:val="0"/>
        <w:jc w:val="both"/>
        <w:rPr>
          <w:rFonts w:ascii="Trebuchet MS" w:hAnsi="Trebuchet MS"/>
          <w:color w:val="002060"/>
          <w:sz w:val="19"/>
          <w:szCs w:val="19"/>
        </w:rPr>
      </w:pPr>
      <w:r w:rsidRPr="00EA25B4">
        <w:rPr>
          <w:rFonts w:ascii="Trebuchet MS" w:hAnsi="Trebuchet MS"/>
          <w:color w:val="002060"/>
          <w:sz w:val="19"/>
          <w:szCs w:val="19"/>
        </w:rPr>
        <w:t>Presenza delle strutture sanitarie pubbliche sul territorio e nelle diverse regioni;</w:t>
      </w:r>
    </w:p>
    <w:p w14:paraId="76172EA0" w14:textId="77777777" w:rsidR="002B1F71" w:rsidRPr="00EA25B4" w:rsidRDefault="005B1315" w:rsidP="005A6934">
      <w:pPr>
        <w:pStyle w:val="Paragrafoelenco"/>
        <w:numPr>
          <w:ilvl w:val="0"/>
          <w:numId w:val="5"/>
        </w:numPr>
        <w:spacing w:after="120"/>
        <w:contextualSpacing w:val="0"/>
        <w:jc w:val="both"/>
        <w:rPr>
          <w:rFonts w:ascii="Trebuchet MS" w:hAnsi="Trebuchet MS"/>
          <w:color w:val="002060"/>
          <w:sz w:val="19"/>
          <w:szCs w:val="19"/>
        </w:rPr>
      </w:pPr>
      <w:r w:rsidRPr="00EA25B4">
        <w:rPr>
          <w:rFonts w:ascii="Trebuchet MS" w:hAnsi="Trebuchet MS"/>
          <w:color w:val="002060"/>
          <w:sz w:val="19"/>
          <w:szCs w:val="19"/>
        </w:rPr>
        <w:t>Rinuncia alle prestazioni sanitarie per motivi economici e di accesso;</w:t>
      </w:r>
    </w:p>
    <w:p w14:paraId="7264B99E" w14:textId="77777777" w:rsidR="002B1F71" w:rsidRPr="00EA25B4" w:rsidRDefault="005B1315" w:rsidP="005A6934">
      <w:pPr>
        <w:pStyle w:val="Paragrafoelenco"/>
        <w:numPr>
          <w:ilvl w:val="0"/>
          <w:numId w:val="5"/>
        </w:numPr>
        <w:spacing w:after="120"/>
        <w:contextualSpacing w:val="0"/>
        <w:jc w:val="both"/>
        <w:rPr>
          <w:rFonts w:ascii="Trebuchet MS" w:hAnsi="Trebuchet MS"/>
          <w:color w:val="002060"/>
          <w:sz w:val="19"/>
          <w:szCs w:val="19"/>
        </w:rPr>
      </w:pPr>
      <w:r w:rsidRPr="00EA25B4">
        <w:rPr>
          <w:rFonts w:ascii="Trebuchet MS" w:hAnsi="Trebuchet MS"/>
          <w:color w:val="002060"/>
          <w:sz w:val="19"/>
          <w:szCs w:val="19"/>
        </w:rPr>
        <w:t>Spesa ed offerta per la sanità del territorio, la assistenza domiciliare, l’integrazione socio-sanitaria;</w:t>
      </w:r>
    </w:p>
    <w:p w14:paraId="1D31C83A" w14:textId="77777777" w:rsidR="002B1F71" w:rsidRPr="00EA25B4" w:rsidRDefault="005B1315" w:rsidP="005A6934">
      <w:pPr>
        <w:pStyle w:val="Paragrafoelenco"/>
        <w:numPr>
          <w:ilvl w:val="0"/>
          <w:numId w:val="5"/>
        </w:numPr>
        <w:spacing w:after="120"/>
        <w:contextualSpacing w:val="0"/>
        <w:jc w:val="both"/>
        <w:rPr>
          <w:rFonts w:ascii="Trebuchet MS" w:hAnsi="Trebuchet MS"/>
          <w:color w:val="002060"/>
          <w:sz w:val="19"/>
          <w:szCs w:val="19"/>
        </w:rPr>
      </w:pPr>
      <w:r w:rsidRPr="00EA25B4">
        <w:rPr>
          <w:rFonts w:ascii="Trebuchet MS" w:hAnsi="Trebuchet MS"/>
          <w:color w:val="002060"/>
          <w:sz w:val="19"/>
          <w:szCs w:val="19"/>
        </w:rPr>
        <w:t xml:space="preserve">Spesa privata out of pocket delle famiglie per sanità; </w:t>
      </w:r>
    </w:p>
    <w:p w14:paraId="19DB2D38" w14:textId="77777777" w:rsidR="002B1F71" w:rsidRPr="00EA25B4" w:rsidRDefault="005B1315" w:rsidP="005A6934">
      <w:pPr>
        <w:pStyle w:val="Paragrafoelenco"/>
        <w:numPr>
          <w:ilvl w:val="0"/>
          <w:numId w:val="5"/>
        </w:numPr>
        <w:spacing w:after="120"/>
        <w:contextualSpacing w:val="0"/>
        <w:jc w:val="both"/>
        <w:rPr>
          <w:rFonts w:ascii="Trebuchet MS" w:hAnsi="Trebuchet MS"/>
          <w:color w:val="002060"/>
          <w:sz w:val="19"/>
          <w:szCs w:val="19"/>
        </w:rPr>
      </w:pPr>
      <w:r w:rsidRPr="00EA25B4">
        <w:rPr>
          <w:rFonts w:ascii="Trebuchet MS" w:hAnsi="Trebuchet MS"/>
          <w:color w:val="002060"/>
          <w:sz w:val="19"/>
          <w:szCs w:val="19"/>
        </w:rPr>
        <w:t>Diffusione del welfare sanitario aziendale e delle forme di mutualità sanitaria collettiva;</w:t>
      </w:r>
    </w:p>
    <w:p w14:paraId="08627026" w14:textId="77777777" w:rsidR="005B1315" w:rsidRPr="00EA25B4" w:rsidRDefault="005B1315" w:rsidP="005A6934">
      <w:pPr>
        <w:pStyle w:val="Paragrafoelenco"/>
        <w:numPr>
          <w:ilvl w:val="0"/>
          <w:numId w:val="5"/>
        </w:numPr>
        <w:spacing w:after="120"/>
        <w:contextualSpacing w:val="0"/>
        <w:jc w:val="both"/>
        <w:rPr>
          <w:rFonts w:ascii="Trebuchet MS" w:hAnsi="Trebuchet MS"/>
          <w:color w:val="002060"/>
          <w:sz w:val="19"/>
          <w:szCs w:val="19"/>
        </w:rPr>
      </w:pPr>
      <w:r w:rsidRPr="00EA25B4">
        <w:rPr>
          <w:rFonts w:ascii="Trebuchet MS" w:hAnsi="Trebuchet MS"/>
          <w:color w:val="002060"/>
          <w:sz w:val="19"/>
          <w:szCs w:val="19"/>
        </w:rPr>
        <w:t>Tipologie di sostegno economico ai disabili e cronici.</w:t>
      </w:r>
    </w:p>
    <w:p w14:paraId="43751B20" w14:textId="77777777" w:rsidR="005B1315" w:rsidRPr="00EA25B4" w:rsidRDefault="005B1315" w:rsidP="005A6934">
      <w:pPr>
        <w:spacing w:after="120"/>
        <w:jc w:val="both"/>
        <w:rPr>
          <w:rFonts w:ascii="Trebuchet MS" w:hAnsi="Trebuchet MS"/>
          <w:color w:val="002060"/>
          <w:sz w:val="19"/>
          <w:szCs w:val="19"/>
        </w:rPr>
      </w:pPr>
    </w:p>
    <w:p w14:paraId="7E9E72BD" w14:textId="77777777" w:rsidR="008D1050" w:rsidRPr="00EA25B4" w:rsidRDefault="008D1050" w:rsidP="005A6934">
      <w:pPr>
        <w:spacing w:after="120"/>
        <w:jc w:val="both"/>
        <w:rPr>
          <w:rFonts w:ascii="Trebuchet MS" w:hAnsi="Trebuchet MS"/>
          <w:color w:val="002060"/>
          <w:sz w:val="19"/>
          <w:szCs w:val="19"/>
        </w:rPr>
      </w:pPr>
      <w:r w:rsidRPr="00EA25B4">
        <w:rPr>
          <w:rFonts w:ascii="Trebuchet MS" w:hAnsi="Trebuchet MS"/>
          <w:color w:val="002060"/>
          <w:sz w:val="19"/>
          <w:szCs w:val="19"/>
          <w:u w:val="single"/>
        </w:rPr>
        <w:t>Obiettivo 4 – Istruzione di qualità</w:t>
      </w:r>
    </w:p>
    <w:p w14:paraId="1FA4ADE1" w14:textId="77777777" w:rsidR="00F8277D" w:rsidRDefault="00F8277D" w:rsidP="005A6934">
      <w:pPr>
        <w:spacing w:after="120"/>
        <w:jc w:val="both"/>
        <w:rPr>
          <w:rFonts w:ascii="Trebuchet MS" w:hAnsi="Trebuchet MS"/>
          <w:color w:val="002060"/>
          <w:sz w:val="19"/>
          <w:szCs w:val="19"/>
        </w:rPr>
      </w:pPr>
      <w:r w:rsidRPr="00EA25B4">
        <w:rPr>
          <w:rFonts w:ascii="Trebuchet MS" w:hAnsi="Trebuchet MS"/>
          <w:color w:val="002060"/>
          <w:sz w:val="19"/>
          <w:szCs w:val="19"/>
        </w:rPr>
        <w:t>Nella sezione dedicata</w:t>
      </w:r>
      <w:r w:rsidR="006B799D" w:rsidRPr="00EA25B4">
        <w:rPr>
          <w:rFonts w:ascii="Trebuchet MS" w:hAnsi="Trebuchet MS"/>
          <w:color w:val="002060"/>
          <w:sz w:val="19"/>
          <w:szCs w:val="19"/>
        </w:rPr>
        <w:t xml:space="preserve"> al Goal </w:t>
      </w:r>
      <w:r w:rsidRPr="00EA25B4">
        <w:rPr>
          <w:rFonts w:ascii="Trebuchet MS" w:hAnsi="Trebuchet MS"/>
          <w:color w:val="002060"/>
          <w:sz w:val="19"/>
          <w:szCs w:val="19"/>
        </w:rPr>
        <w:t>4</w:t>
      </w:r>
      <w:r w:rsidR="00956815">
        <w:rPr>
          <w:rFonts w:ascii="Trebuchet MS" w:hAnsi="Trebuchet MS"/>
          <w:color w:val="002060"/>
          <w:sz w:val="19"/>
          <w:szCs w:val="19"/>
        </w:rPr>
        <w:t xml:space="preserve">, </w:t>
      </w:r>
      <w:r w:rsidRPr="00EA25B4">
        <w:rPr>
          <w:rFonts w:ascii="Trebuchet MS" w:hAnsi="Trebuchet MS"/>
          <w:color w:val="002060"/>
          <w:sz w:val="19"/>
          <w:szCs w:val="19"/>
        </w:rPr>
        <w:t xml:space="preserve">il Rapporto ministeriale fornisce una lettura </w:t>
      </w:r>
      <w:r w:rsidR="006B799D" w:rsidRPr="00EA25B4">
        <w:rPr>
          <w:rFonts w:ascii="Trebuchet MS" w:hAnsi="Trebuchet MS"/>
          <w:color w:val="002060"/>
          <w:sz w:val="19"/>
          <w:szCs w:val="19"/>
        </w:rPr>
        <w:t>dell’</w:t>
      </w:r>
      <w:r w:rsidR="0029119B" w:rsidRPr="00EA25B4">
        <w:rPr>
          <w:rFonts w:ascii="Trebuchet MS" w:hAnsi="Trebuchet MS"/>
          <w:color w:val="002060"/>
          <w:sz w:val="19"/>
          <w:szCs w:val="19"/>
        </w:rPr>
        <w:t>O</w:t>
      </w:r>
      <w:r w:rsidR="006B799D" w:rsidRPr="00EA25B4">
        <w:rPr>
          <w:rFonts w:ascii="Trebuchet MS" w:hAnsi="Trebuchet MS"/>
          <w:color w:val="002060"/>
          <w:sz w:val="19"/>
          <w:szCs w:val="19"/>
        </w:rPr>
        <w:t xml:space="preserve">biettivo </w:t>
      </w:r>
      <w:r w:rsidRPr="00EA25B4">
        <w:rPr>
          <w:rFonts w:ascii="Trebuchet MS" w:hAnsi="Trebuchet MS"/>
          <w:color w:val="002060"/>
          <w:sz w:val="19"/>
          <w:szCs w:val="19"/>
        </w:rPr>
        <w:t xml:space="preserve">che </w:t>
      </w:r>
      <w:r w:rsidR="006B799D" w:rsidRPr="00EA25B4">
        <w:rPr>
          <w:rFonts w:ascii="Trebuchet MS" w:hAnsi="Trebuchet MS"/>
          <w:color w:val="002060"/>
          <w:sz w:val="19"/>
          <w:szCs w:val="19"/>
        </w:rPr>
        <w:t xml:space="preserve">risulta </w:t>
      </w:r>
      <w:r w:rsidRPr="00EA25B4">
        <w:rPr>
          <w:rFonts w:ascii="Trebuchet MS" w:hAnsi="Trebuchet MS"/>
          <w:color w:val="002060"/>
          <w:sz w:val="19"/>
          <w:szCs w:val="19"/>
        </w:rPr>
        <w:t>condivisibile</w:t>
      </w:r>
      <w:r w:rsidR="00956815">
        <w:rPr>
          <w:rFonts w:ascii="Trebuchet MS" w:hAnsi="Trebuchet MS"/>
          <w:color w:val="002060"/>
          <w:sz w:val="19"/>
          <w:szCs w:val="19"/>
        </w:rPr>
        <w:t xml:space="preserve">. </w:t>
      </w:r>
      <w:r w:rsidR="006B799D" w:rsidRPr="00EA25B4">
        <w:rPr>
          <w:rFonts w:ascii="Trebuchet MS" w:hAnsi="Trebuchet MS"/>
          <w:color w:val="002060"/>
          <w:sz w:val="19"/>
          <w:szCs w:val="19"/>
        </w:rPr>
        <w:t xml:space="preserve">Tuttavia, la metodologia c.d. </w:t>
      </w:r>
      <w:r w:rsidR="006B799D" w:rsidRPr="00EA25B4">
        <w:rPr>
          <w:rFonts w:ascii="Trebuchet MS" w:hAnsi="Trebuchet MS"/>
          <w:i/>
          <w:color w:val="002060"/>
          <w:sz w:val="19"/>
          <w:szCs w:val="19"/>
        </w:rPr>
        <w:t xml:space="preserve">a semaforo </w:t>
      </w:r>
      <w:r w:rsidR="006B799D" w:rsidRPr="00EA25B4">
        <w:rPr>
          <w:rFonts w:ascii="Trebuchet MS" w:hAnsi="Trebuchet MS"/>
          <w:color w:val="002060"/>
          <w:sz w:val="19"/>
          <w:szCs w:val="19"/>
        </w:rPr>
        <w:t xml:space="preserve">adottata nella stesura del Rapporto, </w:t>
      </w:r>
      <w:r w:rsidRPr="00EA25B4">
        <w:rPr>
          <w:rFonts w:ascii="Trebuchet MS" w:hAnsi="Trebuchet MS"/>
          <w:color w:val="002060"/>
          <w:sz w:val="19"/>
          <w:szCs w:val="19"/>
        </w:rPr>
        <w:t>pur ag</w:t>
      </w:r>
      <w:r w:rsidR="006B799D" w:rsidRPr="00EA25B4">
        <w:rPr>
          <w:rFonts w:ascii="Trebuchet MS" w:hAnsi="Trebuchet MS"/>
          <w:color w:val="002060"/>
          <w:sz w:val="19"/>
          <w:szCs w:val="19"/>
        </w:rPr>
        <w:t xml:space="preserve">evolando una lettura sintetica, </w:t>
      </w:r>
      <w:r w:rsidRPr="00EA25B4">
        <w:rPr>
          <w:rFonts w:ascii="Trebuchet MS" w:hAnsi="Trebuchet MS"/>
          <w:color w:val="002060"/>
          <w:sz w:val="19"/>
          <w:szCs w:val="19"/>
        </w:rPr>
        <w:t>rischia di fornire indicazioni fuorvianti. Il giudizio basato esclusivamente sulla tendenza in atto (variazione recent</w:t>
      </w:r>
      <w:r w:rsidR="006B799D" w:rsidRPr="00EA25B4">
        <w:rPr>
          <w:rFonts w:ascii="Trebuchet MS" w:hAnsi="Trebuchet MS"/>
          <w:color w:val="002060"/>
          <w:sz w:val="19"/>
          <w:szCs w:val="19"/>
        </w:rPr>
        <w:t xml:space="preserve">e di un indicatore disponibile), poi, </w:t>
      </w:r>
      <w:r w:rsidRPr="00EA25B4">
        <w:rPr>
          <w:rFonts w:ascii="Trebuchet MS" w:hAnsi="Trebuchet MS"/>
          <w:color w:val="002060"/>
          <w:sz w:val="19"/>
          <w:szCs w:val="19"/>
        </w:rPr>
        <w:t>prescinde</w:t>
      </w:r>
      <w:r w:rsidR="006B799D" w:rsidRPr="00EA25B4">
        <w:rPr>
          <w:rFonts w:ascii="Trebuchet MS" w:hAnsi="Trebuchet MS"/>
          <w:color w:val="002060"/>
          <w:sz w:val="19"/>
          <w:szCs w:val="19"/>
        </w:rPr>
        <w:t xml:space="preserve"> </w:t>
      </w:r>
      <w:r w:rsidRPr="00EA25B4">
        <w:rPr>
          <w:rFonts w:ascii="Trebuchet MS" w:hAnsi="Trebuchet MS"/>
          <w:color w:val="002060"/>
          <w:sz w:val="19"/>
          <w:szCs w:val="19"/>
        </w:rPr>
        <w:t xml:space="preserve">dal livello effettivamente raggiunto dall’Italia sulla scena internazionale (il posizionamento, per l’appunto). Si associa così </w:t>
      </w:r>
      <w:r w:rsidR="006B799D" w:rsidRPr="00EA25B4">
        <w:rPr>
          <w:rFonts w:ascii="Trebuchet MS" w:hAnsi="Trebuchet MS"/>
          <w:color w:val="002060"/>
          <w:sz w:val="19"/>
          <w:szCs w:val="19"/>
        </w:rPr>
        <w:t>una valutazione non positiva</w:t>
      </w:r>
      <w:r w:rsidRPr="00EA25B4">
        <w:rPr>
          <w:rFonts w:ascii="Trebuchet MS" w:hAnsi="Trebuchet MS"/>
          <w:color w:val="002060"/>
          <w:sz w:val="19"/>
          <w:szCs w:val="19"/>
        </w:rPr>
        <w:t xml:space="preserve"> ad ambiti dove la situazione italiana rimane tutto sommato invidiabile (scuole dell’infanzia, </w:t>
      </w:r>
      <w:r w:rsidR="006B799D" w:rsidRPr="00696A2A">
        <w:rPr>
          <w:rFonts w:ascii="Trebuchet MS" w:hAnsi="Trebuchet MS"/>
          <w:b/>
          <w:color w:val="002060"/>
          <w:sz w:val="19"/>
          <w:szCs w:val="19"/>
        </w:rPr>
        <w:t>T</w:t>
      </w:r>
      <w:r w:rsidRPr="00696A2A">
        <w:rPr>
          <w:rFonts w:ascii="Trebuchet MS" w:hAnsi="Trebuchet MS"/>
          <w:b/>
          <w:color w:val="002060"/>
          <w:sz w:val="19"/>
          <w:szCs w:val="19"/>
        </w:rPr>
        <w:t>arget 2</w:t>
      </w:r>
      <w:r w:rsidRPr="00EA25B4">
        <w:rPr>
          <w:rFonts w:ascii="Trebuchet MS" w:hAnsi="Trebuchet MS"/>
          <w:color w:val="002060"/>
          <w:sz w:val="19"/>
          <w:szCs w:val="19"/>
        </w:rPr>
        <w:t xml:space="preserve">), mentre si fornisce un giudizio positivo a </w:t>
      </w:r>
      <w:r w:rsidR="006B799D" w:rsidRPr="00EA25B4">
        <w:rPr>
          <w:rFonts w:ascii="Trebuchet MS" w:hAnsi="Trebuchet MS"/>
          <w:color w:val="002060"/>
          <w:sz w:val="19"/>
          <w:szCs w:val="19"/>
        </w:rPr>
        <w:t>T</w:t>
      </w:r>
      <w:r w:rsidRPr="00EA25B4">
        <w:rPr>
          <w:rFonts w:ascii="Trebuchet MS" w:hAnsi="Trebuchet MS"/>
          <w:color w:val="002060"/>
          <w:sz w:val="19"/>
          <w:szCs w:val="19"/>
        </w:rPr>
        <w:t xml:space="preserve">arget </w:t>
      </w:r>
      <w:r w:rsidR="006B799D" w:rsidRPr="00EA25B4">
        <w:rPr>
          <w:rFonts w:ascii="Trebuchet MS" w:hAnsi="Trebuchet MS"/>
          <w:color w:val="002060"/>
          <w:sz w:val="19"/>
          <w:szCs w:val="19"/>
        </w:rPr>
        <w:t xml:space="preserve">rispetto ai quali </w:t>
      </w:r>
      <w:r w:rsidRPr="00EA25B4">
        <w:rPr>
          <w:rFonts w:ascii="Trebuchet MS" w:hAnsi="Trebuchet MS"/>
          <w:color w:val="002060"/>
          <w:sz w:val="19"/>
          <w:szCs w:val="19"/>
        </w:rPr>
        <w:t xml:space="preserve">i modesti </w:t>
      </w:r>
      <w:r w:rsidR="006B799D" w:rsidRPr="00EA25B4">
        <w:rPr>
          <w:rFonts w:ascii="Trebuchet MS" w:hAnsi="Trebuchet MS"/>
          <w:color w:val="002060"/>
          <w:sz w:val="19"/>
          <w:szCs w:val="19"/>
        </w:rPr>
        <w:t xml:space="preserve">recenti </w:t>
      </w:r>
      <w:r w:rsidRPr="00EA25B4">
        <w:rPr>
          <w:rFonts w:ascii="Trebuchet MS" w:hAnsi="Trebuchet MS"/>
          <w:color w:val="002060"/>
          <w:sz w:val="19"/>
          <w:szCs w:val="19"/>
        </w:rPr>
        <w:t xml:space="preserve">miglioramenti non riescono tuttavia a modificare un quadro generale preoccupante (è il caso, ad esempio, delle strutture scolastiche e degli ambienti di apprendimento, </w:t>
      </w:r>
      <w:r w:rsidR="006B799D" w:rsidRPr="00696A2A">
        <w:rPr>
          <w:rFonts w:ascii="Trebuchet MS" w:hAnsi="Trebuchet MS"/>
          <w:b/>
          <w:color w:val="002060"/>
          <w:sz w:val="19"/>
          <w:szCs w:val="19"/>
        </w:rPr>
        <w:t>T</w:t>
      </w:r>
      <w:r w:rsidRPr="00696A2A">
        <w:rPr>
          <w:rFonts w:ascii="Trebuchet MS" w:hAnsi="Trebuchet MS"/>
          <w:b/>
          <w:color w:val="002060"/>
          <w:sz w:val="19"/>
          <w:szCs w:val="19"/>
        </w:rPr>
        <w:t>arget 7a</w:t>
      </w:r>
      <w:r w:rsidRPr="00EA25B4">
        <w:rPr>
          <w:rFonts w:ascii="Trebuchet MS" w:hAnsi="Trebuchet MS"/>
          <w:color w:val="002060"/>
          <w:sz w:val="19"/>
          <w:szCs w:val="19"/>
        </w:rPr>
        <w:t>).</w:t>
      </w:r>
    </w:p>
    <w:p w14:paraId="0BAF55E7" w14:textId="77777777" w:rsidR="006E0919" w:rsidRDefault="00F8277D" w:rsidP="005A6934">
      <w:pPr>
        <w:spacing w:after="120"/>
        <w:jc w:val="both"/>
        <w:rPr>
          <w:rFonts w:ascii="Trebuchet MS" w:hAnsi="Trebuchet MS"/>
          <w:color w:val="002060"/>
          <w:sz w:val="19"/>
          <w:szCs w:val="19"/>
        </w:rPr>
      </w:pPr>
      <w:r w:rsidRPr="00EA25B4">
        <w:rPr>
          <w:rFonts w:ascii="Trebuchet MS" w:hAnsi="Trebuchet MS"/>
          <w:color w:val="002060"/>
          <w:sz w:val="19"/>
          <w:szCs w:val="19"/>
        </w:rPr>
        <w:t>Si esprime qualche perplessità anche rispetto alla valutazione complessiva</w:t>
      </w:r>
      <w:r w:rsidR="00956815">
        <w:rPr>
          <w:rFonts w:ascii="Trebuchet MS" w:hAnsi="Trebuchet MS"/>
          <w:color w:val="002060"/>
          <w:sz w:val="19"/>
          <w:szCs w:val="19"/>
        </w:rPr>
        <w:t xml:space="preserve">, secondo cui </w:t>
      </w:r>
      <w:r w:rsidRPr="00EA25B4">
        <w:rPr>
          <w:rFonts w:ascii="Trebuchet MS" w:hAnsi="Trebuchet MS"/>
          <w:color w:val="002060"/>
          <w:sz w:val="19"/>
          <w:szCs w:val="19"/>
        </w:rPr>
        <w:t xml:space="preserve">la posizione italiana in campo educativo </w:t>
      </w:r>
      <w:r w:rsidR="00956815">
        <w:rPr>
          <w:rFonts w:ascii="Trebuchet MS" w:hAnsi="Trebuchet MS"/>
          <w:color w:val="002060"/>
          <w:sz w:val="19"/>
          <w:szCs w:val="19"/>
        </w:rPr>
        <w:t>è</w:t>
      </w:r>
      <w:r w:rsidR="00956815" w:rsidRPr="00EA25B4">
        <w:rPr>
          <w:rFonts w:ascii="Trebuchet MS" w:hAnsi="Trebuchet MS"/>
          <w:color w:val="002060"/>
          <w:sz w:val="19"/>
          <w:szCs w:val="19"/>
        </w:rPr>
        <w:t xml:space="preserve"> </w:t>
      </w:r>
      <w:r w:rsidRPr="00EA25B4">
        <w:rPr>
          <w:rFonts w:ascii="Trebuchet MS" w:hAnsi="Trebuchet MS"/>
          <w:color w:val="002060"/>
          <w:sz w:val="19"/>
          <w:szCs w:val="19"/>
        </w:rPr>
        <w:t xml:space="preserve">migliore rispetto a quella in campo sanitario, energetico, </w:t>
      </w:r>
      <w:r w:rsidR="006B799D" w:rsidRPr="00EA25B4">
        <w:rPr>
          <w:rFonts w:ascii="Trebuchet MS" w:hAnsi="Trebuchet MS"/>
          <w:color w:val="002060"/>
          <w:sz w:val="19"/>
          <w:szCs w:val="19"/>
        </w:rPr>
        <w:t>etc.</w:t>
      </w:r>
      <w:r w:rsidRPr="00EA25B4">
        <w:rPr>
          <w:rFonts w:ascii="Trebuchet MS" w:hAnsi="Trebuchet MS"/>
          <w:color w:val="002060"/>
          <w:sz w:val="19"/>
          <w:szCs w:val="19"/>
        </w:rPr>
        <w:t>, ma peggiore rispetto alla situazione alimentare, idrica</w:t>
      </w:r>
      <w:r w:rsidR="006B799D" w:rsidRPr="00EA25B4">
        <w:rPr>
          <w:rFonts w:ascii="Trebuchet MS" w:hAnsi="Trebuchet MS"/>
          <w:color w:val="002060"/>
          <w:sz w:val="19"/>
          <w:szCs w:val="19"/>
        </w:rPr>
        <w:t>, etc</w:t>
      </w:r>
      <w:r w:rsidRPr="00EA25B4">
        <w:rPr>
          <w:rFonts w:ascii="Trebuchet MS" w:hAnsi="Trebuchet MS"/>
          <w:color w:val="002060"/>
          <w:sz w:val="19"/>
          <w:szCs w:val="19"/>
        </w:rPr>
        <w:t xml:space="preserve">. In realtà, la logica dell’Agenda 2030 prevede un sistema di </w:t>
      </w:r>
      <w:r w:rsidR="00C90A82" w:rsidRPr="00EA25B4">
        <w:rPr>
          <w:rFonts w:ascii="Trebuchet MS" w:hAnsi="Trebuchet MS"/>
          <w:color w:val="002060"/>
          <w:sz w:val="19"/>
          <w:szCs w:val="19"/>
        </w:rPr>
        <w:t>Obiett</w:t>
      </w:r>
      <w:r w:rsidRPr="00EA25B4">
        <w:rPr>
          <w:rFonts w:ascii="Trebuchet MS" w:hAnsi="Trebuchet MS"/>
          <w:color w:val="002060"/>
          <w:sz w:val="19"/>
          <w:szCs w:val="19"/>
        </w:rPr>
        <w:t xml:space="preserve">ivi e </w:t>
      </w:r>
      <w:r w:rsidR="006B799D" w:rsidRPr="00EA25B4">
        <w:rPr>
          <w:rFonts w:ascii="Trebuchet MS" w:hAnsi="Trebuchet MS"/>
          <w:color w:val="002060"/>
          <w:sz w:val="19"/>
          <w:szCs w:val="19"/>
        </w:rPr>
        <w:t>T</w:t>
      </w:r>
      <w:r w:rsidRPr="00EA25B4">
        <w:rPr>
          <w:rFonts w:ascii="Trebuchet MS" w:hAnsi="Trebuchet MS"/>
          <w:color w:val="002060"/>
          <w:sz w:val="19"/>
          <w:szCs w:val="19"/>
        </w:rPr>
        <w:t>arget fortemente integrato, dove “</w:t>
      </w:r>
      <w:r w:rsidRPr="00EA25B4">
        <w:rPr>
          <w:rFonts w:ascii="Trebuchet MS" w:hAnsi="Trebuchet MS"/>
          <w:i/>
          <w:color w:val="002060"/>
          <w:sz w:val="19"/>
          <w:szCs w:val="19"/>
        </w:rPr>
        <w:t>tutto si tiene</w:t>
      </w:r>
      <w:r w:rsidRPr="00EA25B4">
        <w:rPr>
          <w:rFonts w:ascii="Trebuchet MS" w:hAnsi="Trebuchet MS"/>
          <w:color w:val="002060"/>
          <w:sz w:val="19"/>
          <w:szCs w:val="19"/>
        </w:rPr>
        <w:t xml:space="preserve">”. La fragilità dell’esercizio non dipende quindi soltanto – come segnalato nel testo – dall’incertezza di giudizio sui </w:t>
      </w:r>
      <w:r w:rsidR="006B799D" w:rsidRPr="00EA25B4">
        <w:rPr>
          <w:rFonts w:ascii="Trebuchet MS" w:hAnsi="Trebuchet MS"/>
          <w:color w:val="002060"/>
          <w:sz w:val="19"/>
          <w:szCs w:val="19"/>
        </w:rPr>
        <w:t>T</w:t>
      </w:r>
      <w:r w:rsidRPr="00EA25B4">
        <w:rPr>
          <w:rFonts w:ascii="Trebuchet MS" w:hAnsi="Trebuchet MS"/>
          <w:color w:val="002060"/>
          <w:sz w:val="19"/>
          <w:szCs w:val="19"/>
        </w:rPr>
        <w:t xml:space="preserve">arget, ma anche da un’implicita considerazione degli </w:t>
      </w:r>
      <w:r w:rsidR="006B799D" w:rsidRPr="00EA25B4">
        <w:rPr>
          <w:rFonts w:ascii="Trebuchet MS" w:hAnsi="Trebuchet MS"/>
          <w:color w:val="002060"/>
          <w:sz w:val="19"/>
          <w:szCs w:val="19"/>
        </w:rPr>
        <w:t>O</w:t>
      </w:r>
      <w:r w:rsidRPr="00EA25B4">
        <w:rPr>
          <w:rFonts w:ascii="Trebuchet MS" w:hAnsi="Trebuchet MS"/>
          <w:color w:val="002060"/>
          <w:sz w:val="19"/>
          <w:szCs w:val="19"/>
        </w:rPr>
        <w:t xml:space="preserve">biettivi come reciprocamente indipendenti. Più che dei risultati conclusivi del rapporto, si tratta di un tentativo di sintesi che forse merita di essere presentato con minore enfasi. </w:t>
      </w:r>
    </w:p>
    <w:p w14:paraId="607F2521" w14:textId="77777777" w:rsidR="00696A2A" w:rsidRDefault="00696A2A" w:rsidP="005A6934">
      <w:pPr>
        <w:spacing w:after="120"/>
        <w:jc w:val="both"/>
        <w:rPr>
          <w:rFonts w:ascii="Trebuchet MS" w:hAnsi="Trebuchet MS"/>
          <w:color w:val="002060"/>
          <w:sz w:val="19"/>
          <w:szCs w:val="19"/>
          <w:u w:val="single"/>
        </w:rPr>
      </w:pPr>
    </w:p>
    <w:p w14:paraId="08C05542" w14:textId="77777777" w:rsidR="00804154" w:rsidRDefault="00804154" w:rsidP="005A6934">
      <w:pPr>
        <w:spacing w:after="120"/>
        <w:jc w:val="both"/>
        <w:rPr>
          <w:rFonts w:ascii="Trebuchet MS" w:hAnsi="Trebuchet MS"/>
          <w:color w:val="002060"/>
          <w:sz w:val="19"/>
          <w:szCs w:val="19"/>
          <w:u w:val="single"/>
        </w:rPr>
      </w:pPr>
    </w:p>
    <w:p w14:paraId="55937887" w14:textId="77777777" w:rsidR="00804154" w:rsidRDefault="00804154" w:rsidP="005A6934">
      <w:pPr>
        <w:spacing w:after="120"/>
        <w:jc w:val="both"/>
        <w:rPr>
          <w:rFonts w:ascii="Trebuchet MS" w:hAnsi="Trebuchet MS"/>
          <w:color w:val="002060"/>
          <w:sz w:val="19"/>
          <w:szCs w:val="19"/>
          <w:u w:val="single"/>
        </w:rPr>
      </w:pPr>
    </w:p>
    <w:p w14:paraId="1583ABB0" w14:textId="77777777" w:rsidR="008D1050" w:rsidRPr="00EA25B4" w:rsidRDefault="008D1050" w:rsidP="005A6934">
      <w:pPr>
        <w:spacing w:after="120"/>
        <w:jc w:val="both"/>
        <w:rPr>
          <w:rFonts w:ascii="Trebuchet MS" w:hAnsi="Trebuchet MS"/>
          <w:color w:val="002060"/>
          <w:sz w:val="19"/>
          <w:szCs w:val="19"/>
        </w:rPr>
      </w:pPr>
      <w:r w:rsidRPr="00EA25B4">
        <w:rPr>
          <w:rFonts w:ascii="Trebuchet MS" w:hAnsi="Trebuchet MS"/>
          <w:color w:val="002060"/>
          <w:sz w:val="19"/>
          <w:szCs w:val="19"/>
          <w:u w:val="single"/>
        </w:rPr>
        <w:t>Obiettivo 5 – Parità di genere</w:t>
      </w:r>
    </w:p>
    <w:p w14:paraId="775E2DD7" w14:textId="77777777" w:rsidR="00655527" w:rsidRDefault="00655527" w:rsidP="005A6934">
      <w:pPr>
        <w:spacing w:after="120"/>
        <w:jc w:val="both"/>
        <w:rPr>
          <w:rFonts w:ascii="Trebuchet MS" w:hAnsi="Trebuchet MS"/>
          <w:color w:val="002060"/>
          <w:sz w:val="19"/>
          <w:szCs w:val="19"/>
        </w:rPr>
      </w:pPr>
      <w:r>
        <w:rPr>
          <w:rFonts w:ascii="Trebuchet MS" w:hAnsi="Trebuchet MS"/>
          <w:color w:val="002060"/>
          <w:sz w:val="19"/>
          <w:szCs w:val="19"/>
        </w:rPr>
        <w:t>Per quanto riguarda il Goal 5, si rilevano</w:t>
      </w:r>
      <w:r w:rsidRPr="00655527">
        <w:rPr>
          <w:rFonts w:ascii="Trebuchet MS" w:hAnsi="Trebuchet MS"/>
          <w:color w:val="002060"/>
          <w:sz w:val="19"/>
          <w:szCs w:val="19"/>
        </w:rPr>
        <w:t xml:space="preserve"> criticità importanti</w:t>
      </w:r>
      <w:r>
        <w:rPr>
          <w:rFonts w:ascii="Trebuchet MS" w:hAnsi="Trebuchet MS"/>
          <w:color w:val="002060"/>
          <w:sz w:val="19"/>
          <w:szCs w:val="19"/>
        </w:rPr>
        <w:t>.</w:t>
      </w:r>
      <w:r w:rsidR="00804154">
        <w:rPr>
          <w:rFonts w:ascii="Trebuchet MS" w:hAnsi="Trebuchet MS"/>
          <w:color w:val="002060"/>
          <w:sz w:val="19"/>
          <w:szCs w:val="19"/>
        </w:rPr>
        <w:t xml:space="preserve"> </w:t>
      </w:r>
      <w:r w:rsidRPr="00655527">
        <w:rPr>
          <w:rFonts w:ascii="Trebuchet MS" w:hAnsi="Trebuchet MS"/>
          <w:color w:val="002060"/>
          <w:sz w:val="19"/>
          <w:szCs w:val="19"/>
        </w:rPr>
        <w:t>In questa parte del Rapporto sono stati utilizzati esclusivamente gli indicatori generali elaborati dalla Commissione statistiche delle Nazioni Unite, senza attendere gli indicatori specifici di genere relativi all’Italia elaborati dall’ISTAT a fine anno 2016.</w:t>
      </w:r>
    </w:p>
    <w:p w14:paraId="73118611" w14:textId="77777777" w:rsidR="005B1315" w:rsidRDefault="005B1315" w:rsidP="005A6934">
      <w:pPr>
        <w:spacing w:after="120"/>
        <w:jc w:val="both"/>
        <w:rPr>
          <w:rFonts w:ascii="Trebuchet MS" w:hAnsi="Trebuchet MS"/>
          <w:color w:val="002060"/>
          <w:sz w:val="19"/>
          <w:szCs w:val="19"/>
        </w:rPr>
      </w:pPr>
      <w:r w:rsidRPr="00EA25B4">
        <w:rPr>
          <w:rFonts w:ascii="Trebuchet MS" w:hAnsi="Trebuchet MS"/>
          <w:color w:val="002060"/>
          <w:sz w:val="19"/>
          <w:szCs w:val="19"/>
        </w:rPr>
        <w:t>I dati utilizzati per la misurazione, che avrebbero dovuto dare un’indicazione della situazione di base per il monitoraggio dell’Obiettivo 5, sono disomogenei e si riferiscono a periodi diversi. In molti casi non sono stati considerati gli ultimi dati disponibili a livello governativo (per esempio quelli sulla contraccezione e l’IVG). Si sono utilizzati essenzialmente i dati dell’O</w:t>
      </w:r>
      <w:r w:rsidR="006B6602" w:rsidRPr="00EA25B4">
        <w:rPr>
          <w:rFonts w:ascii="Trebuchet MS" w:hAnsi="Trebuchet MS"/>
          <w:color w:val="002060"/>
          <w:sz w:val="19"/>
          <w:szCs w:val="19"/>
        </w:rPr>
        <w:t>cse</w:t>
      </w:r>
      <w:r w:rsidRPr="00EA25B4">
        <w:rPr>
          <w:rFonts w:ascii="Trebuchet MS" w:hAnsi="Trebuchet MS"/>
          <w:color w:val="002060"/>
          <w:sz w:val="19"/>
          <w:szCs w:val="19"/>
        </w:rPr>
        <w:t xml:space="preserve">, senza tener conto che esistono altri indici della differenza tra i generi, quali il </w:t>
      </w:r>
      <w:r w:rsidRPr="00EA25B4">
        <w:rPr>
          <w:rFonts w:ascii="Trebuchet MS" w:hAnsi="Trebuchet MS"/>
          <w:i/>
          <w:color w:val="002060"/>
          <w:sz w:val="19"/>
          <w:szCs w:val="19"/>
        </w:rPr>
        <w:t>Gender Index Gap</w:t>
      </w:r>
      <w:r w:rsidRPr="00EA25B4">
        <w:rPr>
          <w:rFonts w:ascii="Trebuchet MS" w:hAnsi="Trebuchet MS"/>
          <w:color w:val="002060"/>
          <w:sz w:val="19"/>
          <w:szCs w:val="19"/>
        </w:rPr>
        <w:t xml:space="preserve"> sul quale ogni anno l’</w:t>
      </w:r>
      <w:r w:rsidRPr="00EA25B4">
        <w:rPr>
          <w:rFonts w:ascii="Trebuchet MS" w:hAnsi="Trebuchet MS"/>
          <w:i/>
          <w:color w:val="002060"/>
          <w:sz w:val="19"/>
          <w:szCs w:val="19"/>
        </w:rPr>
        <w:t>International Economic Forum</w:t>
      </w:r>
      <w:r w:rsidRPr="00EA25B4">
        <w:rPr>
          <w:rFonts w:ascii="Trebuchet MS" w:hAnsi="Trebuchet MS"/>
          <w:color w:val="002060"/>
          <w:sz w:val="19"/>
          <w:szCs w:val="19"/>
        </w:rPr>
        <w:t xml:space="preserve"> presenta un Rapporto. Nella edizione del 2016 il Rapporto pone l’Italia al 50° posto tra i 144 paesi analizzati.</w:t>
      </w:r>
    </w:p>
    <w:p w14:paraId="025128D9" w14:textId="77777777" w:rsidR="00655527" w:rsidRDefault="00655527" w:rsidP="005A6934">
      <w:pPr>
        <w:spacing w:after="120"/>
        <w:jc w:val="both"/>
        <w:rPr>
          <w:rFonts w:ascii="Trebuchet MS" w:hAnsi="Trebuchet MS"/>
          <w:color w:val="002060"/>
          <w:sz w:val="19"/>
          <w:szCs w:val="19"/>
        </w:rPr>
      </w:pPr>
      <w:r w:rsidRPr="00655527">
        <w:rPr>
          <w:rFonts w:ascii="Trebuchet MS" w:hAnsi="Trebuchet MS"/>
          <w:color w:val="002060"/>
          <w:sz w:val="19"/>
          <w:szCs w:val="19"/>
        </w:rPr>
        <w:t>Inoltre si è fatto riferimento al corpus legislativo che in Italia è sicuramente avanzato, senza tener conto e menzionare che spesso non viene applicato e quasi mai monitorato, sia per quanto riguarda gl</w:t>
      </w:r>
      <w:r>
        <w:rPr>
          <w:rFonts w:ascii="Trebuchet MS" w:hAnsi="Trebuchet MS"/>
          <w:color w:val="002060"/>
          <w:sz w:val="19"/>
          <w:szCs w:val="19"/>
        </w:rPr>
        <w:t>i stanziamenti che le attività.</w:t>
      </w:r>
    </w:p>
    <w:p w14:paraId="7E98CB3E" w14:textId="77777777" w:rsidR="00655527" w:rsidRDefault="00655527" w:rsidP="005A6934">
      <w:pPr>
        <w:spacing w:after="120"/>
        <w:jc w:val="both"/>
        <w:rPr>
          <w:rFonts w:ascii="Trebuchet MS" w:hAnsi="Trebuchet MS"/>
          <w:color w:val="002060"/>
          <w:sz w:val="19"/>
          <w:szCs w:val="19"/>
        </w:rPr>
      </w:pPr>
      <w:r w:rsidRPr="00655527">
        <w:rPr>
          <w:rFonts w:ascii="Trebuchet MS" w:hAnsi="Trebuchet MS"/>
          <w:color w:val="002060"/>
          <w:sz w:val="19"/>
          <w:szCs w:val="19"/>
        </w:rPr>
        <w:t>Inoltre si è trascurato che la tematica dell’Uguaglianza di genere e dell’Empowerment delle donne all’interno dell’Agenda 2030 non riguarda soltanto l’Obiettivo 5, perché che s</w:t>
      </w:r>
      <w:r>
        <w:rPr>
          <w:rFonts w:ascii="Trebuchet MS" w:hAnsi="Trebuchet MS"/>
          <w:color w:val="002060"/>
          <w:sz w:val="19"/>
          <w:szCs w:val="19"/>
        </w:rPr>
        <w:t>i tratta di un tema trasversale a tutti gli altri 16 Obiettivi</w:t>
      </w:r>
      <w:r w:rsidRPr="00655527">
        <w:rPr>
          <w:rFonts w:ascii="Trebuchet MS" w:hAnsi="Trebuchet MS"/>
          <w:color w:val="002060"/>
          <w:sz w:val="19"/>
          <w:szCs w:val="19"/>
        </w:rPr>
        <w:t>. Tanto che nella maggior parte degli Obiettivi sono contenuti target specifici che riguardano la condizione delle donne e delle ragazze e che, in mancanza di target specifici, vale l’indicazione dell’Ufficio statistico delle Nazioni Unite di presentare sempre i dati disaggregati per sesso. Di questo non si è tenuto molto conto nell’elaborazione delle schede degli altri Obiettivi. Comunque si riscontrano situazioni particolarmente negative nelle schede relative ai target 3.1, 3.7, 8.5, 11.2, 11.7, 16.1, 16.2.</w:t>
      </w:r>
    </w:p>
    <w:p w14:paraId="46BA157E" w14:textId="77777777" w:rsidR="00655527" w:rsidRPr="00EA25B4" w:rsidRDefault="00655527" w:rsidP="005A6934">
      <w:pPr>
        <w:spacing w:after="120"/>
        <w:jc w:val="both"/>
        <w:rPr>
          <w:rFonts w:ascii="Trebuchet MS" w:hAnsi="Trebuchet MS"/>
          <w:color w:val="002060"/>
          <w:sz w:val="19"/>
          <w:szCs w:val="19"/>
        </w:rPr>
      </w:pPr>
      <w:r w:rsidRPr="00655527">
        <w:rPr>
          <w:rFonts w:ascii="Trebuchet MS" w:hAnsi="Trebuchet MS"/>
          <w:color w:val="002060"/>
          <w:sz w:val="19"/>
          <w:szCs w:val="19"/>
        </w:rPr>
        <w:t>Questa prima versione del Rapporto, non fornisce quindi una rappresentazione reale dei deficit e delle criticità dei risultati finora raggiunti per quel che concerne gli aspetti relativi all’Uguaglianza di genere e all’empowerment delle donne. Ne deriva che la scheda finale sui vari target dell’Obiettivo 5 è fuorviante, in quanto in essa dominano i colori che mostrano un quadro complessivo sostanzialmente positivo, tanto che nelle conclusioni e nella rappresentazione finale a ragnatela dei vari Obiettivi, le “Donne” (non l’Uguaglianza di genere e l’empowerment delle donne) hanno un punteggio di 2,5 in una scala da 1 a 3, vale a dire che si ritiene di aver dimostrato che si è molto prossimi al raggiungimento dell’Obiettivo.</w:t>
      </w:r>
    </w:p>
    <w:p w14:paraId="6BD75903" w14:textId="77777777" w:rsidR="005B1315" w:rsidRPr="00EA25B4" w:rsidRDefault="005B1315" w:rsidP="005A6934">
      <w:pPr>
        <w:spacing w:after="120"/>
        <w:jc w:val="both"/>
        <w:rPr>
          <w:rFonts w:ascii="Trebuchet MS" w:hAnsi="Trebuchet MS"/>
          <w:color w:val="002060"/>
          <w:sz w:val="19"/>
          <w:szCs w:val="19"/>
        </w:rPr>
      </w:pPr>
    </w:p>
    <w:p w14:paraId="3F7ECAEA" w14:textId="77777777" w:rsidR="008D1050" w:rsidRPr="00EA25B4" w:rsidRDefault="008D1050" w:rsidP="005A6934">
      <w:pPr>
        <w:spacing w:after="120"/>
        <w:jc w:val="both"/>
        <w:rPr>
          <w:rFonts w:ascii="Trebuchet MS" w:hAnsi="Trebuchet MS"/>
          <w:color w:val="002060"/>
          <w:sz w:val="19"/>
          <w:szCs w:val="19"/>
        </w:rPr>
      </w:pPr>
      <w:r w:rsidRPr="00EA25B4">
        <w:rPr>
          <w:rFonts w:ascii="Trebuchet MS" w:hAnsi="Trebuchet MS"/>
          <w:color w:val="002060"/>
          <w:sz w:val="19"/>
          <w:szCs w:val="19"/>
          <w:u w:val="single"/>
        </w:rPr>
        <w:t>Obiettivo 6 – Acqua pulita e servizi igienico-sanitari</w:t>
      </w:r>
    </w:p>
    <w:p w14:paraId="7E3B528A" w14:textId="77777777" w:rsidR="00913DB0" w:rsidRPr="00EA25B4" w:rsidRDefault="005B1315"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Con riferimento </w:t>
      </w:r>
      <w:r w:rsidR="0078400C">
        <w:rPr>
          <w:rFonts w:ascii="Trebuchet MS" w:hAnsi="Trebuchet MS"/>
          <w:color w:val="002060"/>
          <w:sz w:val="19"/>
          <w:szCs w:val="19"/>
        </w:rPr>
        <w:t>agli indicatori utilizzati per il Goal 6, si osserva quanto segue.</w:t>
      </w:r>
      <w:r w:rsidR="00804154">
        <w:rPr>
          <w:rFonts w:ascii="Trebuchet MS" w:hAnsi="Trebuchet MS"/>
          <w:color w:val="002060"/>
          <w:sz w:val="19"/>
          <w:szCs w:val="19"/>
        </w:rPr>
        <w:t xml:space="preserve"> </w:t>
      </w:r>
      <w:r w:rsidR="0078400C">
        <w:rPr>
          <w:rFonts w:ascii="Trebuchet MS" w:hAnsi="Trebuchet MS"/>
          <w:color w:val="002060"/>
          <w:sz w:val="19"/>
          <w:szCs w:val="19"/>
        </w:rPr>
        <w:t>Per il</w:t>
      </w:r>
      <w:r w:rsidRPr="00EA25B4">
        <w:rPr>
          <w:rFonts w:ascii="Trebuchet MS" w:hAnsi="Trebuchet MS"/>
          <w:color w:val="002060"/>
          <w:sz w:val="19"/>
          <w:szCs w:val="19"/>
        </w:rPr>
        <w:t xml:space="preserve"> </w:t>
      </w:r>
      <w:r w:rsidR="00913DB0" w:rsidRPr="00EA25B4">
        <w:rPr>
          <w:rFonts w:ascii="Trebuchet MS" w:hAnsi="Trebuchet MS"/>
          <w:b/>
          <w:color w:val="002060"/>
          <w:sz w:val="19"/>
          <w:szCs w:val="19"/>
        </w:rPr>
        <w:t>Target 6.1</w:t>
      </w:r>
      <w:r w:rsidRPr="00EA25B4">
        <w:rPr>
          <w:rFonts w:ascii="Trebuchet MS" w:hAnsi="Trebuchet MS"/>
          <w:color w:val="002060"/>
          <w:sz w:val="19"/>
          <w:szCs w:val="19"/>
        </w:rPr>
        <w:t>, concordando con la valutazione generale,</w:t>
      </w:r>
      <w:r w:rsidR="0083123B" w:rsidRPr="00EA25B4">
        <w:rPr>
          <w:rFonts w:ascii="Trebuchet MS" w:hAnsi="Trebuchet MS"/>
          <w:color w:val="002060"/>
          <w:sz w:val="19"/>
          <w:szCs w:val="19"/>
        </w:rPr>
        <w:t xml:space="preserve"> si evidenzia però che nulla è dett</w:t>
      </w:r>
      <w:r w:rsidR="0078400C">
        <w:rPr>
          <w:rFonts w:ascii="Trebuchet MS" w:hAnsi="Trebuchet MS"/>
          <w:color w:val="002060"/>
          <w:sz w:val="19"/>
          <w:szCs w:val="19"/>
        </w:rPr>
        <w:t>o</w:t>
      </w:r>
      <w:r w:rsidR="0083123B" w:rsidRPr="00EA25B4">
        <w:rPr>
          <w:rFonts w:ascii="Trebuchet MS" w:hAnsi="Trebuchet MS"/>
          <w:color w:val="002060"/>
          <w:sz w:val="19"/>
          <w:szCs w:val="19"/>
        </w:rPr>
        <w:t xml:space="preserve">, nel Rapporto, </w:t>
      </w:r>
      <w:r w:rsidRPr="00EA25B4">
        <w:rPr>
          <w:rFonts w:ascii="Trebuchet MS" w:hAnsi="Trebuchet MS"/>
          <w:color w:val="002060"/>
          <w:sz w:val="19"/>
          <w:szCs w:val="19"/>
        </w:rPr>
        <w:t>in merito alla percezione di qualità e sicurezza alla potabilità dell’acqua da parte dei cittadini stante la sfiducia rilevata dall’ISTAT (consistente ancora al 30% nel 2014). A questa stregua il 30% de</w:t>
      </w:r>
      <w:r w:rsidR="00913DB0" w:rsidRPr="00EA25B4">
        <w:rPr>
          <w:rFonts w:ascii="Trebuchet MS" w:hAnsi="Trebuchet MS"/>
          <w:color w:val="002060"/>
          <w:sz w:val="19"/>
          <w:szCs w:val="19"/>
        </w:rPr>
        <w:t xml:space="preserve">l </w:t>
      </w:r>
      <w:r w:rsidR="00AF5386" w:rsidRPr="00EA25B4">
        <w:rPr>
          <w:rFonts w:ascii="Trebuchet MS" w:hAnsi="Trebuchet MS"/>
          <w:color w:val="002060"/>
          <w:sz w:val="19"/>
          <w:szCs w:val="19"/>
        </w:rPr>
        <w:t>Target</w:t>
      </w:r>
      <w:r w:rsidR="00913DB0" w:rsidRPr="00EA25B4">
        <w:rPr>
          <w:rFonts w:ascii="Trebuchet MS" w:hAnsi="Trebuchet MS"/>
          <w:color w:val="002060"/>
          <w:sz w:val="19"/>
          <w:szCs w:val="19"/>
        </w:rPr>
        <w:t xml:space="preserve"> è ancora da soddisfare.</w:t>
      </w:r>
    </w:p>
    <w:p w14:paraId="44DA68AD" w14:textId="77777777" w:rsidR="005B1315" w:rsidRPr="00EA25B4" w:rsidRDefault="005B1315"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Con riguardo al </w:t>
      </w:r>
      <w:r w:rsidR="00913DB0" w:rsidRPr="00EA25B4">
        <w:rPr>
          <w:rFonts w:ascii="Trebuchet MS" w:hAnsi="Trebuchet MS"/>
          <w:b/>
          <w:color w:val="002060"/>
          <w:sz w:val="19"/>
          <w:szCs w:val="19"/>
        </w:rPr>
        <w:t>Target 6.3</w:t>
      </w:r>
      <w:r w:rsidRPr="00EA25B4">
        <w:rPr>
          <w:rFonts w:ascii="Trebuchet MS" w:hAnsi="Trebuchet MS"/>
          <w:color w:val="002060"/>
          <w:sz w:val="19"/>
          <w:szCs w:val="19"/>
        </w:rPr>
        <w:t>, sulla depurazione delle acque</w:t>
      </w:r>
      <w:r w:rsidR="006B799D" w:rsidRPr="00EA25B4">
        <w:rPr>
          <w:rFonts w:ascii="Trebuchet MS" w:hAnsi="Trebuchet MS"/>
          <w:color w:val="002060"/>
          <w:sz w:val="19"/>
          <w:szCs w:val="19"/>
        </w:rPr>
        <w:t>,</w:t>
      </w:r>
      <w:r w:rsidRPr="00EA25B4">
        <w:rPr>
          <w:rFonts w:ascii="Trebuchet MS" w:hAnsi="Trebuchet MS"/>
          <w:color w:val="002060"/>
          <w:sz w:val="19"/>
          <w:szCs w:val="19"/>
        </w:rPr>
        <w:t xml:space="preserve"> il portale della Presidenza del Consiglio http://acqua.gov.it fornisce ulteriori informazioni rispetto a quanto riportato dal </w:t>
      </w:r>
      <w:r w:rsidR="004A582E" w:rsidRPr="00EA25B4">
        <w:rPr>
          <w:rFonts w:ascii="Trebuchet MS" w:hAnsi="Trebuchet MS"/>
          <w:color w:val="002060"/>
          <w:sz w:val="19"/>
          <w:szCs w:val="19"/>
        </w:rPr>
        <w:t>MATTM</w:t>
      </w:r>
      <w:r w:rsidRPr="00EA25B4">
        <w:rPr>
          <w:rFonts w:ascii="Trebuchet MS" w:hAnsi="Trebuchet MS"/>
          <w:color w:val="002060"/>
          <w:sz w:val="19"/>
          <w:szCs w:val="19"/>
        </w:rPr>
        <w:t>, soprattutto per quanto riguarda procedure d’infrazione e condanne. L’immagine che segue evidenzia a colpo d’occhio che la situazione depurazione acque per l’Italia è assai critica.</w:t>
      </w:r>
    </w:p>
    <w:p w14:paraId="09EE8819" w14:textId="77777777" w:rsidR="0083123B" w:rsidRPr="00EA25B4" w:rsidRDefault="0083123B"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Con riferimento, invece, al </w:t>
      </w:r>
      <w:r w:rsidRPr="00EA25B4">
        <w:rPr>
          <w:rFonts w:ascii="Trebuchet MS" w:hAnsi="Trebuchet MS"/>
          <w:b/>
          <w:color w:val="002060"/>
          <w:sz w:val="19"/>
          <w:szCs w:val="19"/>
        </w:rPr>
        <w:t>Target 6.4</w:t>
      </w:r>
      <w:r w:rsidRPr="00EA25B4">
        <w:rPr>
          <w:rFonts w:ascii="Trebuchet MS" w:hAnsi="Trebuchet MS"/>
          <w:color w:val="002060"/>
          <w:sz w:val="19"/>
          <w:szCs w:val="19"/>
        </w:rPr>
        <w:t xml:space="preserve">, l’Alleanza condivide la decisione di attribuire al posizionamento italiano un </w:t>
      </w:r>
      <w:r w:rsidRPr="00EA25B4">
        <w:rPr>
          <w:rFonts w:ascii="Trebuchet MS" w:hAnsi="Trebuchet MS"/>
          <w:i/>
          <w:color w:val="002060"/>
          <w:sz w:val="19"/>
          <w:szCs w:val="19"/>
        </w:rPr>
        <w:t>semaforo rosso</w:t>
      </w:r>
      <w:r w:rsidRPr="00EA25B4">
        <w:rPr>
          <w:rFonts w:ascii="Trebuchet MS" w:hAnsi="Trebuchet MS"/>
          <w:color w:val="002060"/>
          <w:sz w:val="19"/>
          <w:szCs w:val="19"/>
        </w:rPr>
        <w:t>. Si propone, tuttavia, un ulteriore spunto di riflessione che all’interno del Rapporto ministeriale non ha trovato spazio: stando a “</w:t>
      </w:r>
      <w:r w:rsidRPr="00EA25B4">
        <w:rPr>
          <w:rFonts w:ascii="Trebuchet MS" w:hAnsi="Trebuchet MS"/>
          <w:i/>
          <w:color w:val="002060"/>
          <w:sz w:val="19"/>
          <w:szCs w:val="19"/>
        </w:rPr>
        <w:t>Eurostat – Energy, transport and environment indicators – 2016</w:t>
      </w:r>
      <w:r w:rsidRPr="00EA25B4">
        <w:rPr>
          <w:rFonts w:ascii="Trebuchet MS" w:hAnsi="Trebuchet MS"/>
          <w:color w:val="002060"/>
          <w:sz w:val="19"/>
          <w:szCs w:val="19"/>
        </w:rPr>
        <w:t xml:space="preserve">”, l’Italia si posiziona al primo posto nella classifica europea dei Paesi con più alto consumo d’acqua </w:t>
      </w:r>
      <w:r w:rsidRPr="00EA25B4">
        <w:rPr>
          <w:rFonts w:ascii="Trebuchet MS" w:hAnsi="Trebuchet MS"/>
          <w:i/>
          <w:color w:val="002060"/>
          <w:sz w:val="19"/>
          <w:szCs w:val="19"/>
        </w:rPr>
        <w:t xml:space="preserve">pro capite, </w:t>
      </w:r>
      <w:r w:rsidRPr="00EA25B4">
        <w:rPr>
          <w:rFonts w:ascii="Trebuchet MS" w:hAnsi="Trebuchet MS"/>
          <w:color w:val="002060"/>
          <w:sz w:val="19"/>
          <w:szCs w:val="19"/>
        </w:rPr>
        <w:t>con un consumo di oltre 150 metri cubi di acqua per abitante.</w:t>
      </w:r>
    </w:p>
    <w:p w14:paraId="1EE7D2FE" w14:textId="77777777" w:rsidR="0083123B" w:rsidRPr="00EA25B4" w:rsidRDefault="00804154" w:rsidP="005A6934">
      <w:pPr>
        <w:spacing w:after="120"/>
        <w:jc w:val="both"/>
        <w:rPr>
          <w:rFonts w:ascii="Trebuchet MS" w:hAnsi="Trebuchet MS"/>
          <w:color w:val="002060"/>
          <w:sz w:val="19"/>
          <w:szCs w:val="19"/>
        </w:rPr>
      </w:pPr>
      <w:r>
        <w:rPr>
          <w:rFonts w:ascii="Trebuchet MS" w:hAnsi="Trebuchet MS"/>
          <w:color w:val="002060"/>
          <w:sz w:val="19"/>
          <w:szCs w:val="19"/>
        </w:rPr>
        <w:t>R</w:t>
      </w:r>
      <w:r w:rsidR="0083123B" w:rsidRPr="00EA25B4">
        <w:rPr>
          <w:rFonts w:ascii="Trebuchet MS" w:hAnsi="Trebuchet MS"/>
          <w:color w:val="002060"/>
          <w:sz w:val="19"/>
          <w:szCs w:val="19"/>
        </w:rPr>
        <w:t xml:space="preserve">iguardo al </w:t>
      </w:r>
      <w:r w:rsidR="0083123B" w:rsidRPr="00EA25B4">
        <w:rPr>
          <w:rFonts w:ascii="Trebuchet MS" w:hAnsi="Trebuchet MS"/>
          <w:b/>
          <w:color w:val="002060"/>
          <w:sz w:val="19"/>
          <w:szCs w:val="19"/>
        </w:rPr>
        <w:t>Target 6.6</w:t>
      </w:r>
      <w:r w:rsidR="0083123B" w:rsidRPr="00EA25B4">
        <w:rPr>
          <w:rFonts w:ascii="Trebuchet MS" w:hAnsi="Trebuchet MS"/>
          <w:color w:val="002060"/>
          <w:sz w:val="19"/>
          <w:szCs w:val="19"/>
        </w:rPr>
        <w:t xml:space="preserve">, si segnala un ulteriore dato sintomatico per cui il 30,6% delle acque distribuite nella rete richiedono trattamenti per la potabilizzazione (Istat 2014 – Report censimento acqua). Il Target è, nell’opinione del </w:t>
      </w:r>
      <w:r w:rsidR="004A582E" w:rsidRPr="00EA25B4">
        <w:rPr>
          <w:rFonts w:ascii="Trebuchet MS" w:hAnsi="Trebuchet MS"/>
          <w:color w:val="002060"/>
          <w:sz w:val="19"/>
          <w:szCs w:val="19"/>
        </w:rPr>
        <w:t>Mattm</w:t>
      </w:r>
      <w:r w:rsidR="0083123B" w:rsidRPr="00EA25B4">
        <w:rPr>
          <w:rFonts w:ascii="Trebuchet MS" w:hAnsi="Trebuchet MS"/>
          <w:color w:val="002060"/>
          <w:sz w:val="19"/>
          <w:szCs w:val="19"/>
        </w:rPr>
        <w:t xml:space="preserve">, raggiungibile. A nostro parere, invece, guardando alla breve distanza temporale che separa queste osservazioni dal traguardo (il Target è fissato al 2020), esso risulta senz’altro raggiungibile, ma </w:t>
      </w:r>
      <w:r w:rsidR="0083123B" w:rsidRPr="00EA25B4">
        <w:rPr>
          <w:rFonts w:ascii="Trebuchet MS" w:hAnsi="Trebuchet MS"/>
          <w:color w:val="002060"/>
          <w:sz w:val="19"/>
          <w:szCs w:val="19"/>
        </w:rPr>
        <w:lastRenderedPageBreak/>
        <w:t>solamente se si guardi al 2030, ritardandone la scadenza</w:t>
      </w:r>
      <w:r w:rsidR="00635A19" w:rsidRPr="00EA25B4">
        <w:rPr>
          <w:rFonts w:ascii="Trebuchet MS" w:hAnsi="Trebuchet MS"/>
          <w:color w:val="002060"/>
          <w:sz w:val="19"/>
          <w:szCs w:val="19"/>
        </w:rPr>
        <w:t>, specialmente se il raggiungimento è legato alle sole politiche già in essere e non venga perseguito con la realizzazione di interventi ulteriori.</w:t>
      </w:r>
    </w:p>
    <w:p w14:paraId="3E961EAF" w14:textId="77777777" w:rsidR="0078400C" w:rsidRDefault="0078400C" w:rsidP="005A6934">
      <w:pPr>
        <w:spacing w:after="120"/>
        <w:jc w:val="both"/>
        <w:rPr>
          <w:rFonts w:ascii="Trebuchet MS" w:hAnsi="Trebuchet MS"/>
          <w:color w:val="002060"/>
          <w:sz w:val="19"/>
          <w:szCs w:val="19"/>
          <w:u w:val="single"/>
        </w:rPr>
      </w:pPr>
    </w:p>
    <w:p w14:paraId="2023F332" w14:textId="77777777" w:rsidR="008D1050" w:rsidRPr="00EA25B4" w:rsidRDefault="008D1050" w:rsidP="005A6934">
      <w:pPr>
        <w:spacing w:after="120"/>
        <w:jc w:val="both"/>
        <w:rPr>
          <w:rFonts w:ascii="Trebuchet MS" w:hAnsi="Trebuchet MS"/>
          <w:color w:val="002060"/>
          <w:sz w:val="19"/>
          <w:szCs w:val="19"/>
        </w:rPr>
      </w:pPr>
      <w:r w:rsidRPr="00EA25B4">
        <w:rPr>
          <w:rFonts w:ascii="Trebuchet MS" w:hAnsi="Trebuchet MS"/>
          <w:color w:val="002060"/>
          <w:sz w:val="19"/>
          <w:szCs w:val="19"/>
          <w:u w:val="single"/>
        </w:rPr>
        <w:t>Obiettivo 7 – Energia pulita e accessibile</w:t>
      </w:r>
    </w:p>
    <w:p w14:paraId="1E3593EB" w14:textId="77777777" w:rsidR="00B756CA" w:rsidRPr="00B756CA" w:rsidRDefault="00B756CA" w:rsidP="005A6934">
      <w:pPr>
        <w:spacing w:after="120"/>
        <w:jc w:val="both"/>
        <w:rPr>
          <w:rFonts w:ascii="Trebuchet MS" w:hAnsi="Trebuchet MS"/>
          <w:color w:val="002060"/>
          <w:sz w:val="19"/>
          <w:szCs w:val="19"/>
        </w:rPr>
      </w:pPr>
      <w:r>
        <w:rPr>
          <w:rFonts w:ascii="Trebuchet MS" w:hAnsi="Trebuchet MS"/>
          <w:color w:val="002060"/>
          <w:sz w:val="19"/>
          <w:szCs w:val="19"/>
        </w:rPr>
        <w:t xml:space="preserve">Con riferimento al </w:t>
      </w:r>
      <w:r w:rsidRPr="00B756CA">
        <w:rPr>
          <w:rFonts w:ascii="Trebuchet MS" w:hAnsi="Trebuchet MS"/>
          <w:b/>
          <w:color w:val="002060"/>
          <w:sz w:val="19"/>
          <w:szCs w:val="19"/>
        </w:rPr>
        <w:t>Target 7.1</w:t>
      </w:r>
      <w:r>
        <w:rPr>
          <w:rFonts w:ascii="Trebuchet MS" w:hAnsi="Trebuchet MS"/>
          <w:color w:val="002060"/>
          <w:sz w:val="19"/>
          <w:szCs w:val="19"/>
        </w:rPr>
        <w:t xml:space="preserve">, il documento registra le osservazioni avanzate dal gruppo di lavoro 7 dell’Alleanza. In </w:t>
      </w:r>
      <w:r w:rsidRPr="00B756CA">
        <w:rPr>
          <w:rFonts w:ascii="Trebuchet MS" w:hAnsi="Trebuchet MS"/>
          <w:color w:val="002060"/>
          <w:sz w:val="19"/>
          <w:szCs w:val="19"/>
        </w:rPr>
        <w:t xml:space="preserve">particolare resta valida l’osservazione relativa al 7.1.1 che contraddice il documento </w:t>
      </w:r>
      <w:r>
        <w:rPr>
          <w:rFonts w:ascii="Trebuchet MS" w:hAnsi="Trebuchet MS"/>
          <w:color w:val="002060"/>
          <w:sz w:val="19"/>
          <w:szCs w:val="19"/>
        </w:rPr>
        <w:t xml:space="preserve">nella parte in cui </w:t>
      </w:r>
      <w:r w:rsidRPr="00B756CA">
        <w:rPr>
          <w:rFonts w:ascii="Trebuchet MS" w:hAnsi="Trebuchet MS"/>
          <w:color w:val="002060"/>
          <w:sz w:val="19"/>
          <w:szCs w:val="19"/>
        </w:rPr>
        <w:t>recita “</w:t>
      </w:r>
      <w:r w:rsidRPr="00B756CA">
        <w:rPr>
          <w:rFonts w:ascii="Trebuchet MS" w:hAnsi="Trebuchet MS"/>
          <w:i/>
          <w:color w:val="002060"/>
          <w:sz w:val="19"/>
          <w:szCs w:val="19"/>
        </w:rPr>
        <w:t>Per quanto riguarda l’Italia, l’accesso all’energia elettrica è totale sia nelle aree urbane che rurali” citando un dato puramente quantitativo di WEO e World Bank. Segnalavamo che viceversa “dagli indicatori EUROSTAT 2015 sulla povertà energetica in Italia, il 12% delle utenze risulta in arretrato rispetto al pagamento delle bollette, ma il dato con più alta significatività è che il 19,1% degli utenti risulta non riuscire a riscaldare adeguatamente la propria abitazione. La situazione è sensibilmente più negativa rispetto alla media UE</w:t>
      </w:r>
      <w:r w:rsidRPr="00B756CA">
        <w:rPr>
          <w:rFonts w:ascii="Trebuchet MS" w:hAnsi="Trebuchet MS"/>
          <w:color w:val="002060"/>
          <w:sz w:val="19"/>
          <w:szCs w:val="19"/>
        </w:rPr>
        <w:t xml:space="preserve">”. A nostro parere è evidente che il </w:t>
      </w:r>
      <w:r>
        <w:rPr>
          <w:rFonts w:ascii="Trebuchet MS" w:hAnsi="Trebuchet MS"/>
          <w:color w:val="002060"/>
          <w:sz w:val="19"/>
          <w:szCs w:val="19"/>
        </w:rPr>
        <w:t>T</w:t>
      </w:r>
      <w:r w:rsidRPr="00B756CA">
        <w:rPr>
          <w:rFonts w:ascii="Trebuchet MS" w:hAnsi="Trebuchet MS"/>
          <w:color w:val="002060"/>
          <w:sz w:val="19"/>
          <w:szCs w:val="19"/>
        </w:rPr>
        <w:t xml:space="preserve">arget 7.1 è dimensionato per i paesi in via di sviluppo e che ha senso per l’Europa solo per gli aspetti qualitativi e </w:t>
      </w:r>
      <w:r>
        <w:rPr>
          <w:rFonts w:ascii="Trebuchet MS" w:hAnsi="Trebuchet MS"/>
          <w:color w:val="002060"/>
          <w:sz w:val="19"/>
          <w:szCs w:val="19"/>
        </w:rPr>
        <w:t xml:space="preserve">per </w:t>
      </w:r>
      <w:r w:rsidRPr="00B756CA">
        <w:rPr>
          <w:rFonts w:ascii="Trebuchet MS" w:hAnsi="Trebuchet MS"/>
          <w:color w:val="002060"/>
          <w:sz w:val="19"/>
          <w:szCs w:val="19"/>
        </w:rPr>
        <w:t>quelli della nuova povertà. Per il 7.1.2 il documento conferma quanto avevamo detto</w:t>
      </w:r>
      <w:r>
        <w:rPr>
          <w:rFonts w:ascii="Trebuchet MS" w:hAnsi="Trebuchet MS"/>
          <w:color w:val="002060"/>
          <w:sz w:val="19"/>
          <w:szCs w:val="19"/>
        </w:rPr>
        <w:t>, cioè che</w:t>
      </w:r>
      <w:r w:rsidRPr="00B756CA">
        <w:rPr>
          <w:rFonts w:ascii="Trebuchet MS" w:hAnsi="Trebuchet MS"/>
          <w:color w:val="002060"/>
          <w:sz w:val="19"/>
          <w:szCs w:val="19"/>
        </w:rPr>
        <w:t xml:space="preserve"> “</w:t>
      </w:r>
      <w:r>
        <w:rPr>
          <w:rFonts w:ascii="Trebuchet MS" w:hAnsi="Trebuchet MS"/>
          <w:i/>
          <w:color w:val="002060"/>
          <w:sz w:val="19"/>
          <w:szCs w:val="19"/>
        </w:rPr>
        <w:t>r</w:t>
      </w:r>
      <w:r w:rsidRPr="00B756CA">
        <w:rPr>
          <w:rFonts w:ascii="Trebuchet MS" w:hAnsi="Trebuchet MS"/>
          <w:i/>
          <w:color w:val="002060"/>
          <w:sz w:val="19"/>
          <w:szCs w:val="19"/>
        </w:rPr>
        <w:t>estano peraltro problemi effettivi di definizione dell’indicatore. Anzitutto non è chiaro che cosa si intenda per combustibili puliti, nessuno lo è. Le tecnologie sono in evoluzione e miglioramento, ma non possono in alcuni casi compensare il deficit ecologico del combustibile</w:t>
      </w:r>
      <w:r w:rsidRPr="00B756CA">
        <w:rPr>
          <w:rFonts w:ascii="Trebuchet MS" w:hAnsi="Trebuchet MS"/>
          <w:color w:val="002060"/>
          <w:sz w:val="19"/>
          <w:szCs w:val="19"/>
        </w:rPr>
        <w:t xml:space="preserve">”. </w:t>
      </w:r>
    </w:p>
    <w:p w14:paraId="08784E2E" w14:textId="77777777" w:rsidR="00B756CA" w:rsidRDefault="00B756CA" w:rsidP="005A6934">
      <w:pPr>
        <w:spacing w:after="120"/>
        <w:jc w:val="both"/>
        <w:rPr>
          <w:rFonts w:ascii="Trebuchet MS" w:hAnsi="Trebuchet MS"/>
          <w:color w:val="002060"/>
          <w:sz w:val="19"/>
          <w:szCs w:val="19"/>
        </w:rPr>
      </w:pPr>
      <w:r>
        <w:rPr>
          <w:rFonts w:ascii="Trebuchet MS" w:hAnsi="Trebuchet MS"/>
          <w:color w:val="002060"/>
          <w:sz w:val="19"/>
          <w:szCs w:val="19"/>
        </w:rPr>
        <w:t xml:space="preserve">Per il </w:t>
      </w:r>
      <w:r w:rsidRPr="00B756CA">
        <w:rPr>
          <w:rFonts w:ascii="Trebuchet MS" w:hAnsi="Trebuchet MS"/>
          <w:b/>
          <w:color w:val="002060"/>
          <w:sz w:val="19"/>
          <w:szCs w:val="19"/>
        </w:rPr>
        <w:t>Target 7.2</w:t>
      </w:r>
      <w:r>
        <w:rPr>
          <w:rFonts w:ascii="Trebuchet MS" w:hAnsi="Trebuchet MS"/>
          <w:color w:val="002060"/>
          <w:sz w:val="19"/>
          <w:szCs w:val="19"/>
        </w:rPr>
        <w:t xml:space="preserve">, </w:t>
      </w:r>
      <w:r w:rsidRPr="00B756CA">
        <w:rPr>
          <w:rFonts w:ascii="Trebuchet MS" w:hAnsi="Trebuchet MS"/>
          <w:color w:val="002060"/>
          <w:sz w:val="19"/>
          <w:szCs w:val="19"/>
        </w:rPr>
        <w:t xml:space="preserve">Dati e serie storiche sono disponibili così come gli obiettivi EU al 2030 che peraltro il documento conferma essere inadeguati per il percorso low carbon previsto dall’accordo di Parigi. Totalmente inaccettabile e persino sorprendente è la conclusione </w:t>
      </w:r>
      <w:r>
        <w:rPr>
          <w:rFonts w:ascii="Trebuchet MS" w:hAnsi="Trebuchet MS"/>
          <w:color w:val="002060"/>
          <w:sz w:val="19"/>
          <w:szCs w:val="19"/>
        </w:rPr>
        <w:t xml:space="preserve">del Rapporto per cui </w:t>
      </w:r>
      <w:r w:rsidRPr="00B756CA">
        <w:rPr>
          <w:rFonts w:ascii="Trebuchet MS" w:hAnsi="Trebuchet MS"/>
          <w:color w:val="002060"/>
          <w:sz w:val="19"/>
          <w:szCs w:val="19"/>
        </w:rPr>
        <w:t>“</w:t>
      </w:r>
      <w:r w:rsidRPr="00B756CA">
        <w:rPr>
          <w:rFonts w:ascii="Trebuchet MS" w:hAnsi="Trebuchet MS"/>
          <w:i/>
          <w:color w:val="002060"/>
          <w:sz w:val="19"/>
          <w:szCs w:val="19"/>
        </w:rPr>
        <w:t>anche alla luce dell’auspicio che il CFL riparta, è difficile prevedere un ulteriore aumento delle FER nei prossimi 15 anni e soprattutto che tale incremento, la quota delle FER sul CFL, possa ripetere la stessa performance degli ultimi 10 anni</w:t>
      </w:r>
      <w:r w:rsidRPr="00B756CA">
        <w:rPr>
          <w:rFonts w:ascii="Trebuchet MS" w:hAnsi="Trebuchet MS"/>
          <w:color w:val="002060"/>
          <w:sz w:val="19"/>
          <w:szCs w:val="19"/>
        </w:rPr>
        <w:t>”. Assente la dovuta critica ai gravi errori della politica di incentivazione, sulla quale sarebbe opportuno per l’Italia accreditare un secondo indicatore.</w:t>
      </w:r>
    </w:p>
    <w:p w14:paraId="0A5BE9D8" w14:textId="77777777" w:rsidR="00B756CA" w:rsidRDefault="00B756CA" w:rsidP="005A6934">
      <w:pPr>
        <w:spacing w:after="120"/>
        <w:jc w:val="both"/>
        <w:rPr>
          <w:rFonts w:ascii="Trebuchet MS" w:hAnsi="Trebuchet MS"/>
          <w:color w:val="002060"/>
          <w:sz w:val="19"/>
          <w:szCs w:val="19"/>
        </w:rPr>
      </w:pPr>
      <w:r>
        <w:rPr>
          <w:rFonts w:ascii="Trebuchet MS" w:hAnsi="Trebuchet MS"/>
          <w:color w:val="002060"/>
          <w:sz w:val="19"/>
          <w:szCs w:val="19"/>
        </w:rPr>
        <w:t xml:space="preserve">Con riferimento al </w:t>
      </w:r>
      <w:r>
        <w:rPr>
          <w:rFonts w:ascii="Trebuchet MS" w:hAnsi="Trebuchet MS"/>
          <w:b/>
          <w:color w:val="002060"/>
          <w:sz w:val="19"/>
          <w:szCs w:val="19"/>
        </w:rPr>
        <w:t>Target 7.3</w:t>
      </w:r>
      <w:r>
        <w:rPr>
          <w:rFonts w:ascii="Trebuchet MS" w:hAnsi="Trebuchet MS"/>
          <w:color w:val="002060"/>
          <w:sz w:val="19"/>
          <w:szCs w:val="19"/>
        </w:rPr>
        <w:t xml:space="preserve">, l’analisi è piena di equivoci, anche a causa dell’indicatore IAEG-SDGs prescelto. </w:t>
      </w:r>
      <w:r w:rsidRPr="00B756CA">
        <w:rPr>
          <w:rFonts w:ascii="Trebuchet MS" w:hAnsi="Trebuchet MS"/>
          <w:color w:val="002060"/>
          <w:sz w:val="19"/>
          <w:szCs w:val="19"/>
        </w:rPr>
        <w:t>Si tratta infatti di migliorare, secondo il target, il tasso di decrescita, non il valore assoluto dell’intensità energetica richiamato in 7.3.1. Inoltre un conto è l’efficienza energetica, che va migliorata, altro è conteggiare nell’efficienza anche l’energia rinnovabile ponendola al pari dell’energia fossile. Se il chiarimento non avverrà a livello UN, sarebbe opportuno praticarlo con una scelta più adeguata degli indicatori nello spazio di autonomia nazionale (eventualmente europea) lasciato dall’Agenda 2030.</w:t>
      </w:r>
    </w:p>
    <w:p w14:paraId="0326C09D" w14:textId="77777777" w:rsidR="00127E61" w:rsidRPr="00127E61" w:rsidRDefault="00B756CA" w:rsidP="005A6934">
      <w:pPr>
        <w:spacing w:after="120"/>
        <w:jc w:val="both"/>
        <w:rPr>
          <w:rFonts w:ascii="Trebuchet MS" w:hAnsi="Trebuchet MS"/>
          <w:iCs/>
          <w:color w:val="002060"/>
          <w:sz w:val="19"/>
          <w:szCs w:val="19"/>
        </w:rPr>
      </w:pPr>
      <w:r>
        <w:rPr>
          <w:rFonts w:ascii="Trebuchet MS" w:hAnsi="Trebuchet MS"/>
          <w:color w:val="002060"/>
          <w:sz w:val="19"/>
          <w:szCs w:val="19"/>
        </w:rPr>
        <w:t xml:space="preserve">Quanto al </w:t>
      </w:r>
      <w:r>
        <w:rPr>
          <w:rFonts w:ascii="Trebuchet MS" w:hAnsi="Trebuchet MS"/>
          <w:b/>
          <w:color w:val="002060"/>
          <w:sz w:val="19"/>
          <w:szCs w:val="19"/>
        </w:rPr>
        <w:t>Target 7.a</w:t>
      </w:r>
      <w:r>
        <w:rPr>
          <w:rFonts w:ascii="Trebuchet MS" w:hAnsi="Trebuchet MS"/>
          <w:color w:val="002060"/>
          <w:sz w:val="19"/>
          <w:szCs w:val="19"/>
        </w:rPr>
        <w:t xml:space="preserve">, il documento accoglie l’osservazione presentata dall’ASviS, che è riportata anche nel testo del Rapporto. Lo stesso, per il </w:t>
      </w:r>
      <w:r w:rsidRPr="00B756CA">
        <w:rPr>
          <w:rFonts w:ascii="Trebuchet MS" w:hAnsi="Trebuchet MS"/>
          <w:b/>
          <w:color w:val="002060"/>
          <w:sz w:val="19"/>
          <w:szCs w:val="19"/>
        </w:rPr>
        <w:t>Target 7.b</w:t>
      </w:r>
      <w:r>
        <w:rPr>
          <w:rFonts w:ascii="Trebuchet MS" w:hAnsi="Trebuchet MS"/>
          <w:color w:val="002060"/>
          <w:sz w:val="19"/>
          <w:szCs w:val="19"/>
        </w:rPr>
        <w:t xml:space="preserve">, per il quale viene condivisa l’analisi dell’ASviS (anche qui riportata nel testo) e che in questo caso è perfino più ampia dei dubbi metodologici e statistici avanzati dal documento stesso. </w:t>
      </w:r>
      <w:r w:rsidR="00127E61" w:rsidRPr="00127E61">
        <w:rPr>
          <w:rFonts w:ascii="Trebuchet MS" w:hAnsi="Trebuchet MS"/>
          <w:iCs/>
          <w:color w:val="002060"/>
          <w:sz w:val="19"/>
          <w:szCs w:val="19"/>
        </w:rPr>
        <w:t>A conti fatti, come per il target 7.a, il documento lascia indefiniti gli indicatori. Osserviamo con forza che il dato sugli aiuti allo sviluppo nel settore energetico ai PVS non può far finta di ignorare il gravissimo deficit italiano sugli aiuti ODA, il famoso 7 per</w:t>
      </w:r>
      <w:r w:rsidR="00127E61">
        <w:rPr>
          <w:rFonts w:ascii="Trebuchet MS" w:hAnsi="Trebuchet MS"/>
          <w:iCs/>
          <w:color w:val="002060"/>
          <w:sz w:val="19"/>
          <w:szCs w:val="19"/>
        </w:rPr>
        <w:t xml:space="preserve"> </w:t>
      </w:r>
      <w:r w:rsidR="00127E61" w:rsidRPr="00127E61">
        <w:rPr>
          <w:rFonts w:ascii="Trebuchet MS" w:hAnsi="Trebuchet MS"/>
          <w:iCs/>
          <w:color w:val="002060"/>
          <w:sz w:val="19"/>
          <w:szCs w:val="19"/>
        </w:rPr>
        <w:t>mille (</w:t>
      </w:r>
      <w:r w:rsidR="00696A2A">
        <w:rPr>
          <w:rFonts w:ascii="Trebuchet MS" w:hAnsi="Trebuchet MS"/>
          <w:iCs/>
          <w:color w:val="002060"/>
          <w:sz w:val="19"/>
          <w:szCs w:val="19"/>
        </w:rPr>
        <w:t xml:space="preserve">dati largamente disponibili da </w:t>
      </w:r>
      <w:r w:rsidR="00127E61" w:rsidRPr="00127E61">
        <w:rPr>
          <w:rFonts w:ascii="Trebuchet MS" w:hAnsi="Trebuchet MS"/>
          <w:iCs/>
          <w:color w:val="002060"/>
          <w:sz w:val="19"/>
          <w:szCs w:val="19"/>
        </w:rPr>
        <w:t>OECD) per i quali non si può fare la furberia di referenziare i flussi annuali, che stanno un po’ migliorando, ed ignorare il deficit (è un vero e proprio debito) accumulato negli anni, tra i più gravi dei paesi sviluppati, se si fa eccezione degli Stati Uniti. Suggeriamo con forza che, in assenza di dati settoriali per l’energia, si adotti come proxy il dato ODA.</w:t>
      </w:r>
    </w:p>
    <w:p w14:paraId="00B802E8" w14:textId="77777777" w:rsidR="00B756CA" w:rsidRDefault="00B756CA" w:rsidP="005A6934">
      <w:pPr>
        <w:spacing w:after="120"/>
        <w:jc w:val="both"/>
        <w:rPr>
          <w:rFonts w:ascii="Trebuchet MS" w:hAnsi="Trebuchet MS"/>
          <w:color w:val="002060"/>
          <w:sz w:val="19"/>
          <w:szCs w:val="19"/>
        </w:rPr>
      </w:pPr>
    </w:p>
    <w:p w14:paraId="2E5436C8" w14:textId="77777777" w:rsidR="008D1050" w:rsidRPr="00EA25B4" w:rsidRDefault="008D1050" w:rsidP="005A6934">
      <w:pPr>
        <w:spacing w:after="120"/>
        <w:jc w:val="both"/>
        <w:rPr>
          <w:rFonts w:ascii="Trebuchet MS" w:hAnsi="Trebuchet MS"/>
          <w:color w:val="002060"/>
          <w:sz w:val="19"/>
          <w:szCs w:val="19"/>
        </w:rPr>
      </w:pPr>
      <w:r w:rsidRPr="00EA25B4">
        <w:rPr>
          <w:rFonts w:ascii="Trebuchet MS" w:hAnsi="Trebuchet MS"/>
          <w:color w:val="002060"/>
          <w:sz w:val="19"/>
          <w:szCs w:val="19"/>
          <w:u w:val="single"/>
        </w:rPr>
        <w:t>Obiettivo 8 – Buona occupazione e crescita economica</w:t>
      </w:r>
    </w:p>
    <w:p w14:paraId="6FC65F7A" w14:textId="77777777" w:rsidR="005B1315" w:rsidRPr="00EA25B4" w:rsidRDefault="0014105F" w:rsidP="005A6934">
      <w:pPr>
        <w:spacing w:after="120"/>
        <w:jc w:val="both"/>
        <w:rPr>
          <w:rFonts w:ascii="Trebuchet MS" w:hAnsi="Trebuchet MS"/>
          <w:color w:val="002060"/>
          <w:sz w:val="19"/>
          <w:szCs w:val="19"/>
        </w:rPr>
      </w:pPr>
      <w:r>
        <w:rPr>
          <w:rFonts w:ascii="Trebuchet MS" w:hAnsi="Trebuchet MS"/>
          <w:color w:val="002060"/>
          <w:sz w:val="19"/>
          <w:szCs w:val="19"/>
        </w:rPr>
        <w:t>Con riferimento al Goal 8, l</w:t>
      </w:r>
      <w:r w:rsidR="005B1315" w:rsidRPr="00EA25B4">
        <w:rPr>
          <w:rFonts w:ascii="Trebuchet MS" w:hAnsi="Trebuchet MS"/>
          <w:color w:val="002060"/>
          <w:sz w:val="19"/>
          <w:szCs w:val="19"/>
        </w:rPr>
        <w:t xml:space="preserve">a valutazione complessiva che emerge per il posizionamento dell’Italia con riferimento </w:t>
      </w:r>
      <w:r>
        <w:rPr>
          <w:rFonts w:ascii="Trebuchet MS" w:hAnsi="Trebuchet MS"/>
          <w:color w:val="002060"/>
          <w:sz w:val="19"/>
          <w:szCs w:val="19"/>
        </w:rPr>
        <w:t>a questo Obiettivo</w:t>
      </w:r>
      <w:r w:rsidR="005B1315" w:rsidRPr="00EA25B4">
        <w:rPr>
          <w:rFonts w:ascii="Trebuchet MS" w:hAnsi="Trebuchet MS"/>
          <w:color w:val="002060"/>
          <w:sz w:val="19"/>
          <w:szCs w:val="19"/>
        </w:rPr>
        <w:t xml:space="preserve"> sembrerebbe eccessivamente positiva e ottimistica rispetto agli andamenti reali dell’economia anche in relazione ad una valutazione poco integrata dei singoli </w:t>
      </w:r>
      <w:r w:rsidR="00913DB0" w:rsidRPr="00EA25B4">
        <w:rPr>
          <w:rFonts w:ascii="Trebuchet MS" w:hAnsi="Trebuchet MS"/>
          <w:color w:val="002060"/>
          <w:sz w:val="19"/>
          <w:szCs w:val="19"/>
        </w:rPr>
        <w:t>T</w:t>
      </w:r>
      <w:r w:rsidR="005B1315" w:rsidRPr="00EA25B4">
        <w:rPr>
          <w:rFonts w:ascii="Trebuchet MS" w:hAnsi="Trebuchet MS"/>
          <w:color w:val="002060"/>
          <w:sz w:val="19"/>
          <w:szCs w:val="19"/>
        </w:rPr>
        <w:t xml:space="preserve">arget. </w:t>
      </w:r>
      <w:r w:rsidR="002104F5">
        <w:rPr>
          <w:rFonts w:ascii="Trebuchet MS" w:hAnsi="Trebuchet MS"/>
          <w:color w:val="002060"/>
          <w:sz w:val="19"/>
          <w:szCs w:val="19"/>
        </w:rPr>
        <w:t xml:space="preserve"> </w:t>
      </w:r>
      <w:r w:rsidR="005B1315" w:rsidRPr="00EA25B4">
        <w:rPr>
          <w:rFonts w:ascii="Trebuchet MS" w:hAnsi="Trebuchet MS"/>
          <w:color w:val="002060"/>
          <w:sz w:val="19"/>
          <w:szCs w:val="19"/>
        </w:rPr>
        <w:t>Nella fase di valu</w:t>
      </w:r>
      <w:r w:rsidR="00913DB0" w:rsidRPr="00EA25B4">
        <w:rPr>
          <w:rFonts w:ascii="Trebuchet MS" w:hAnsi="Trebuchet MS"/>
          <w:color w:val="002060"/>
          <w:sz w:val="19"/>
          <w:szCs w:val="19"/>
        </w:rPr>
        <w:t>tazione, inoltre, non sono presi</w:t>
      </w:r>
      <w:r w:rsidR="005B1315" w:rsidRPr="00EA25B4">
        <w:rPr>
          <w:rFonts w:ascii="Trebuchet MS" w:hAnsi="Trebuchet MS"/>
          <w:color w:val="002060"/>
          <w:sz w:val="19"/>
          <w:szCs w:val="19"/>
        </w:rPr>
        <w:t xml:space="preserve"> in considerazione orientamenti o scelte programmatiche di </w:t>
      </w:r>
      <w:r w:rsidR="005B1315" w:rsidRPr="00EA25B4">
        <w:rPr>
          <w:rFonts w:ascii="Trebuchet MS" w:hAnsi="Trebuchet MS"/>
          <w:i/>
          <w:color w:val="002060"/>
          <w:sz w:val="19"/>
          <w:szCs w:val="19"/>
        </w:rPr>
        <w:t>policy</w:t>
      </w:r>
      <w:r w:rsidR="005B1315" w:rsidRPr="00EA25B4">
        <w:rPr>
          <w:rFonts w:ascii="Trebuchet MS" w:hAnsi="Trebuchet MS"/>
          <w:color w:val="002060"/>
          <w:sz w:val="19"/>
          <w:szCs w:val="19"/>
        </w:rPr>
        <w:t xml:space="preserve">, assumendo così in modo acritico l'uso degli indicatori (che non sempre risultano adeguati). In generale poi, seppur non previsto dagli indicatori selezionati a livello internazionale, sarebbe stato opportuno analizzare anche l’impegno italiano, pubblico e privato, per l'affermazione di questo </w:t>
      </w:r>
      <w:r w:rsidR="00AF5386" w:rsidRPr="00EA25B4">
        <w:rPr>
          <w:rFonts w:ascii="Trebuchet MS" w:hAnsi="Trebuchet MS"/>
          <w:color w:val="002060"/>
          <w:sz w:val="19"/>
          <w:szCs w:val="19"/>
        </w:rPr>
        <w:t>Goal</w:t>
      </w:r>
      <w:r w:rsidR="005B1315" w:rsidRPr="00EA25B4">
        <w:rPr>
          <w:rFonts w:ascii="Trebuchet MS" w:hAnsi="Trebuchet MS"/>
          <w:color w:val="002060"/>
          <w:sz w:val="19"/>
          <w:szCs w:val="19"/>
        </w:rPr>
        <w:t xml:space="preserve"> a livello globale.</w:t>
      </w:r>
    </w:p>
    <w:p w14:paraId="2849CDA9" w14:textId="77777777" w:rsidR="005B1315" w:rsidRPr="00EA25B4" w:rsidRDefault="00696A2A" w:rsidP="005A6934">
      <w:pPr>
        <w:spacing w:after="120"/>
        <w:jc w:val="both"/>
        <w:rPr>
          <w:rFonts w:ascii="Trebuchet MS" w:hAnsi="Trebuchet MS"/>
          <w:color w:val="002060"/>
          <w:sz w:val="19"/>
          <w:szCs w:val="19"/>
        </w:rPr>
      </w:pPr>
      <w:r>
        <w:rPr>
          <w:rFonts w:ascii="Trebuchet MS" w:hAnsi="Trebuchet MS"/>
          <w:color w:val="002060"/>
          <w:sz w:val="19"/>
          <w:szCs w:val="19"/>
        </w:rPr>
        <w:t xml:space="preserve">È importante </w:t>
      </w:r>
      <w:r w:rsidR="00EE233D">
        <w:rPr>
          <w:rFonts w:ascii="Trebuchet MS" w:hAnsi="Trebuchet MS"/>
          <w:color w:val="002060"/>
          <w:sz w:val="19"/>
          <w:szCs w:val="19"/>
        </w:rPr>
        <w:t>inoltre</w:t>
      </w:r>
      <w:r w:rsidR="005B1315" w:rsidRPr="00EA25B4">
        <w:rPr>
          <w:rFonts w:ascii="Trebuchet MS" w:hAnsi="Trebuchet MS"/>
          <w:color w:val="002060"/>
          <w:sz w:val="19"/>
          <w:szCs w:val="19"/>
        </w:rPr>
        <w:t xml:space="preserve"> osservare come una valutazione quali-quantitativa non debba essere necessariamente approssimativa, come spesso argomentato nel documento, in quanto le metodologie per l’analisi qualitativa dei </w:t>
      </w:r>
      <w:r w:rsidR="005B1315" w:rsidRPr="00EA25B4">
        <w:rPr>
          <w:rFonts w:ascii="Trebuchet MS" w:hAnsi="Trebuchet MS"/>
          <w:color w:val="002060"/>
          <w:sz w:val="19"/>
          <w:szCs w:val="19"/>
        </w:rPr>
        <w:lastRenderedPageBreak/>
        <w:t xml:space="preserve">dati sono ben codificate e portano a risultati di solito non troppo distanti da quelli che si ottengono con analisi più strutturate. Questo processo però necessita di una riflessione intorno ai pesi da assegnare ai singoli </w:t>
      </w:r>
      <w:r w:rsidR="00AF5386" w:rsidRPr="00EA25B4">
        <w:rPr>
          <w:rFonts w:ascii="Trebuchet MS" w:hAnsi="Trebuchet MS"/>
          <w:color w:val="002060"/>
          <w:sz w:val="19"/>
          <w:szCs w:val="19"/>
        </w:rPr>
        <w:t>Target</w:t>
      </w:r>
      <w:r w:rsidR="005B1315" w:rsidRPr="00EA25B4">
        <w:rPr>
          <w:rFonts w:ascii="Trebuchet MS" w:hAnsi="Trebuchet MS"/>
          <w:color w:val="002060"/>
          <w:sz w:val="19"/>
          <w:szCs w:val="19"/>
        </w:rPr>
        <w:t xml:space="preserve"> al fine di elaborare un giudizio di sintesi che vada oltre una semplice analisi disgiunta dei punteggi qualitativi individuati.</w:t>
      </w:r>
    </w:p>
    <w:p w14:paraId="326391B4" w14:textId="77777777" w:rsidR="005B1315" w:rsidRPr="00EA25B4" w:rsidRDefault="005B1315"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Andando ad analizzare in particolare i singoli obiettivi, l’analisi riportata non dovrebbe prescindere, soprattutto con riferimento a </w:t>
      </w:r>
      <w:r w:rsidR="00913DB0" w:rsidRPr="00EA25B4">
        <w:rPr>
          <w:rFonts w:ascii="Trebuchet MS" w:hAnsi="Trebuchet MS"/>
          <w:color w:val="002060"/>
          <w:sz w:val="19"/>
          <w:szCs w:val="19"/>
        </w:rPr>
        <w:t>T</w:t>
      </w:r>
      <w:r w:rsidRPr="00EA25B4">
        <w:rPr>
          <w:rFonts w:ascii="Trebuchet MS" w:hAnsi="Trebuchet MS"/>
          <w:color w:val="002060"/>
          <w:sz w:val="19"/>
          <w:szCs w:val="19"/>
        </w:rPr>
        <w:t>arget specifici (</w:t>
      </w:r>
      <w:r w:rsidR="00913DB0" w:rsidRPr="00696A2A">
        <w:rPr>
          <w:rFonts w:ascii="Trebuchet MS" w:hAnsi="Trebuchet MS"/>
          <w:b/>
          <w:color w:val="002060"/>
          <w:sz w:val="19"/>
          <w:szCs w:val="19"/>
        </w:rPr>
        <w:t>T</w:t>
      </w:r>
      <w:r w:rsidRPr="00696A2A">
        <w:rPr>
          <w:rFonts w:ascii="Trebuchet MS" w:hAnsi="Trebuchet MS"/>
          <w:b/>
          <w:color w:val="002060"/>
          <w:sz w:val="19"/>
          <w:szCs w:val="19"/>
        </w:rPr>
        <w:t>arget 8.1, 8.2,</w:t>
      </w:r>
      <w:r w:rsidR="00F576E7" w:rsidRPr="00696A2A">
        <w:rPr>
          <w:rFonts w:ascii="Trebuchet MS" w:hAnsi="Trebuchet MS"/>
          <w:b/>
          <w:color w:val="002060"/>
          <w:sz w:val="19"/>
          <w:szCs w:val="19"/>
        </w:rPr>
        <w:t xml:space="preserve"> </w:t>
      </w:r>
      <w:r w:rsidRPr="00696A2A">
        <w:rPr>
          <w:rFonts w:ascii="Trebuchet MS" w:hAnsi="Trebuchet MS"/>
          <w:b/>
          <w:color w:val="002060"/>
          <w:sz w:val="19"/>
          <w:szCs w:val="19"/>
        </w:rPr>
        <w:t>8.3, 8.6.1</w:t>
      </w:r>
      <w:r w:rsidRPr="00EA25B4">
        <w:rPr>
          <w:rFonts w:ascii="Trebuchet MS" w:hAnsi="Trebuchet MS"/>
          <w:color w:val="002060"/>
          <w:sz w:val="19"/>
          <w:szCs w:val="19"/>
        </w:rPr>
        <w:t>), dall’utilizzo di disaggregazioni macro-regionali(NUTS1) o regionali (NUTS2), al fine di tenere in considerazione, soprattutto in sede di valutazione, delle forti eterogeneità territoriali che caratterizzano il nostro Paese.</w:t>
      </w:r>
    </w:p>
    <w:p w14:paraId="30D980E8" w14:textId="77777777" w:rsidR="005B1315" w:rsidRPr="00EA25B4" w:rsidRDefault="005B1315"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Con riferimento al </w:t>
      </w:r>
      <w:r w:rsidR="00913DB0" w:rsidRPr="00EA25B4">
        <w:rPr>
          <w:rFonts w:ascii="Trebuchet MS" w:hAnsi="Trebuchet MS"/>
          <w:b/>
          <w:color w:val="002060"/>
          <w:sz w:val="19"/>
          <w:szCs w:val="19"/>
        </w:rPr>
        <w:t>T</w:t>
      </w:r>
      <w:r w:rsidRPr="00EA25B4">
        <w:rPr>
          <w:rFonts w:ascii="Trebuchet MS" w:hAnsi="Trebuchet MS"/>
          <w:b/>
          <w:color w:val="002060"/>
          <w:sz w:val="19"/>
          <w:szCs w:val="19"/>
        </w:rPr>
        <w:t>arget 8.2</w:t>
      </w:r>
      <w:r w:rsidRPr="00EA25B4">
        <w:rPr>
          <w:rFonts w:ascii="Trebuchet MS" w:hAnsi="Trebuchet MS"/>
          <w:color w:val="002060"/>
          <w:sz w:val="19"/>
          <w:szCs w:val="19"/>
        </w:rPr>
        <w:t xml:space="preserve">, l’indicatore IAEG (crescita reale del PIL per occupato) non riflette le dinamiche riguardanti la “diversificazione, aggiornamento tecnologico ed innovazione” che invece sono richiamate nello specifico </w:t>
      </w:r>
      <w:r w:rsidR="00913DB0" w:rsidRPr="00EA25B4">
        <w:rPr>
          <w:rFonts w:ascii="Trebuchet MS" w:hAnsi="Trebuchet MS"/>
          <w:color w:val="002060"/>
          <w:sz w:val="19"/>
          <w:szCs w:val="19"/>
        </w:rPr>
        <w:t>T</w:t>
      </w:r>
      <w:r w:rsidRPr="00EA25B4">
        <w:rPr>
          <w:rFonts w:ascii="Trebuchet MS" w:hAnsi="Trebuchet MS"/>
          <w:color w:val="002060"/>
          <w:sz w:val="19"/>
          <w:szCs w:val="19"/>
        </w:rPr>
        <w:t>arget. Oltre ad essere necessarie anche in questo caso delle riflessioni sulla qualità dell’indicatore selezionato e sulla necessità di integrarlo con altre misure, emergono dei dubbi sul commento e sulla valutazione proposta (si indica infatti che l’Italia sarebbe ben posizionata rispetto alla media EU28). Non emerge con chiarezza infatti la struttura dei dati (o delle elaborazioni) utilizzati(e). In generale, infatti, è noto come l’Italia sconti, soprattutto nel confronto europeo, un gap significativo in termini di dinamica della produttività (sia totale che del lavoro).</w:t>
      </w:r>
    </w:p>
    <w:p w14:paraId="233307F2" w14:textId="77777777" w:rsidR="005B1315" w:rsidRPr="00EA25B4" w:rsidRDefault="005B1315"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Con riguardo al </w:t>
      </w:r>
      <w:r w:rsidR="00913DB0" w:rsidRPr="00EA25B4">
        <w:rPr>
          <w:rFonts w:ascii="Trebuchet MS" w:hAnsi="Trebuchet MS"/>
          <w:b/>
          <w:color w:val="002060"/>
          <w:sz w:val="19"/>
          <w:szCs w:val="19"/>
        </w:rPr>
        <w:t>T</w:t>
      </w:r>
      <w:r w:rsidRPr="00EA25B4">
        <w:rPr>
          <w:rFonts w:ascii="Trebuchet MS" w:hAnsi="Trebuchet MS"/>
          <w:b/>
          <w:color w:val="002060"/>
          <w:sz w:val="19"/>
          <w:szCs w:val="19"/>
        </w:rPr>
        <w:t>arget 8.3</w:t>
      </w:r>
      <w:r w:rsidRPr="00EA25B4">
        <w:rPr>
          <w:rFonts w:ascii="Trebuchet MS" w:hAnsi="Trebuchet MS"/>
          <w:color w:val="002060"/>
          <w:sz w:val="19"/>
          <w:szCs w:val="19"/>
        </w:rPr>
        <w:t xml:space="preserve"> nelle valutazioni non si tiene conto degli esiti positivi derivanti dai programmi di sostegno alle </w:t>
      </w:r>
      <w:r w:rsidRPr="00EA25B4">
        <w:rPr>
          <w:rFonts w:ascii="Trebuchet MS" w:hAnsi="Trebuchet MS"/>
          <w:i/>
          <w:color w:val="002060"/>
          <w:sz w:val="19"/>
          <w:szCs w:val="19"/>
        </w:rPr>
        <w:t xml:space="preserve">start up </w:t>
      </w:r>
      <w:r w:rsidRPr="00EA25B4">
        <w:rPr>
          <w:rFonts w:ascii="Trebuchet MS" w:hAnsi="Trebuchet MS"/>
          <w:color w:val="002060"/>
          <w:sz w:val="19"/>
          <w:szCs w:val="19"/>
        </w:rPr>
        <w:t xml:space="preserve">e alle PMI innovative, mentre con riferimento al </w:t>
      </w:r>
      <w:r w:rsidRPr="00696A2A">
        <w:rPr>
          <w:rFonts w:ascii="Trebuchet MS" w:hAnsi="Trebuchet MS"/>
          <w:b/>
          <w:color w:val="002060"/>
          <w:sz w:val="19"/>
          <w:szCs w:val="19"/>
        </w:rPr>
        <w:t>Target 8.4</w:t>
      </w:r>
      <w:r w:rsidRPr="00EA25B4">
        <w:rPr>
          <w:rFonts w:ascii="Trebuchet MS" w:hAnsi="Trebuchet MS"/>
          <w:color w:val="002060"/>
          <w:sz w:val="19"/>
          <w:szCs w:val="19"/>
        </w:rPr>
        <w:t xml:space="preserve"> nelle valutazioni si non tiene conto di un mancato impegno del </w:t>
      </w:r>
      <w:r w:rsidR="004A582E" w:rsidRPr="00EA25B4">
        <w:rPr>
          <w:rFonts w:ascii="Trebuchet MS" w:hAnsi="Trebuchet MS"/>
          <w:color w:val="002060"/>
          <w:sz w:val="19"/>
          <w:szCs w:val="19"/>
        </w:rPr>
        <w:t>MATTM</w:t>
      </w:r>
      <w:r w:rsidRPr="00EA25B4">
        <w:rPr>
          <w:rFonts w:ascii="Trebuchet MS" w:hAnsi="Trebuchet MS"/>
          <w:color w:val="002060"/>
          <w:sz w:val="19"/>
          <w:szCs w:val="19"/>
        </w:rPr>
        <w:t xml:space="preserve"> sul fronte dei provvedimenti post COP 21, delle opportunità rimandate della delega fiscale e ai potenziali effetti del green act.</w:t>
      </w:r>
    </w:p>
    <w:p w14:paraId="77C48336" w14:textId="77777777" w:rsidR="00F576E7" w:rsidRPr="00EA25B4" w:rsidRDefault="005B1315"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Sul </w:t>
      </w:r>
      <w:r w:rsidRPr="00EA25B4">
        <w:rPr>
          <w:rFonts w:ascii="Trebuchet MS" w:hAnsi="Trebuchet MS"/>
          <w:b/>
          <w:color w:val="002060"/>
          <w:sz w:val="19"/>
          <w:szCs w:val="19"/>
        </w:rPr>
        <w:t>Target 8.5</w:t>
      </w:r>
      <w:r w:rsidRPr="00EA25B4">
        <w:rPr>
          <w:rFonts w:ascii="Trebuchet MS" w:hAnsi="Trebuchet MS"/>
          <w:color w:val="002060"/>
          <w:sz w:val="19"/>
          <w:szCs w:val="19"/>
        </w:rPr>
        <w:t xml:space="preserve"> sono evidenziate le persistenti disparità di genere con riferimento i livelli occupazionali e remunerativi, ma andrebbe anche valutata l'importanza dell'empowerment della componente femminile ai fini di una crescita sostenibile. Con riferimento al </w:t>
      </w:r>
      <w:r w:rsidR="00AF5386" w:rsidRPr="00696A2A">
        <w:rPr>
          <w:rFonts w:ascii="Trebuchet MS" w:hAnsi="Trebuchet MS"/>
          <w:b/>
          <w:color w:val="002060"/>
          <w:sz w:val="19"/>
          <w:szCs w:val="19"/>
        </w:rPr>
        <w:t>Target</w:t>
      </w:r>
      <w:r w:rsidRPr="00696A2A">
        <w:rPr>
          <w:rFonts w:ascii="Trebuchet MS" w:hAnsi="Trebuchet MS"/>
          <w:b/>
          <w:color w:val="002060"/>
          <w:sz w:val="19"/>
          <w:szCs w:val="19"/>
        </w:rPr>
        <w:t xml:space="preserve"> 8.8</w:t>
      </w:r>
      <w:r w:rsidRPr="00EA25B4">
        <w:rPr>
          <w:rFonts w:ascii="Trebuchet MS" w:hAnsi="Trebuchet MS"/>
          <w:color w:val="002060"/>
          <w:sz w:val="19"/>
          <w:szCs w:val="19"/>
        </w:rPr>
        <w:t xml:space="preserve"> nelle valutazioni manca un rife</w:t>
      </w:r>
      <w:r w:rsidR="00F576E7" w:rsidRPr="00EA25B4">
        <w:rPr>
          <w:rFonts w:ascii="Trebuchet MS" w:hAnsi="Trebuchet MS"/>
          <w:color w:val="002060"/>
          <w:sz w:val="19"/>
          <w:szCs w:val="19"/>
        </w:rPr>
        <w:t>rimento agli aspetti di genere.</w:t>
      </w:r>
    </w:p>
    <w:p w14:paraId="48EAA694" w14:textId="77777777" w:rsidR="00455798" w:rsidRDefault="005B1315"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Con riguardo al </w:t>
      </w:r>
      <w:r w:rsidR="00AF5386" w:rsidRPr="00EA25B4">
        <w:rPr>
          <w:rFonts w:ascii="Trebuchet MS" w:hAnsi="Trebuchet MS"/>
          <w:b/>
          <w:color w:val="002060"/>
          <w:sz w:val="19"/>
          <w:szCs w:val="19"/>
        </w:rPr>
        <w:t>Target</w:t>
      </w:r>
      <w:r w:rsidRPr="00EA25B4">
        <w:rPr>
          <w:rFonts w:ascii="Trebuchet MS" w:hAnsi="Trebuchet MS"/>
          <w:b/>
          <w:color w:val="002060"/>
          <w:sz w:val="19"/>
          <w:szCs w:val="19"/>
        </w:rPr>
        <w:t xml:space="preserve"> 8.9</w:t>
      </w:r>
      <w:r w:rsidRPr="00EA25B4">
        <w:rPr>
          <w:rFonts w:ascii="Trebuchet MS" w:hAnsi="Trebuchet MS"/>
          <w:color w:val="002060"/>
          <w:sz w:val="19"/>
          <w:szCs w:val="19"/>
        </w:rPr>
        <w:t xml:space="preserve"> l’analisi soltanto del numero di Neet under 24 significa in particolare in Italia ignorare il fenomeno degli </w:t>
      </w:r>
      <w:r w:rsidRPr="00696A2A">
        <w:rPr>
          <w:rFonts w:ascii="Trebuchet MS" w:hAnsi="Trebuchet MS"/>
          <w:i/>
          <w:color w:val="002060"/>
          <w:sz w:val="19"/>
          <w:szCs w:val="19"/>
        </w:rPr>
        <w:t>young adult</w:t>
      </w:r>
      <w:r w:rsidRPr="00EA25B4">
        <w:rPr>
          <w:rFonts w:ascii="Trebuchet MS" w:hAnsi="Trebuchet MS"/>
          <w:color w:val="002060"/>
          <w:sz w:val="19"/>
          <w:szCs w:val="19"/>
        </w:rPr>
        <w:t xml:space="preserve"> (under 29). </w:t>
      </w:r>
    </w:p>
    <w:p w14:paraId="6D054E42" w14:textId="77777777" w:rsidR="005B1315" w:rsidRDefault="005B1315"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Per il </w:t>
      </w:r>
      <w:r w:rsidR="00AF5386" w:rsidRPr="00455798">
        <w:rPr>
          <w:rFonts w:ascii="Trebuchet MS" w:hAnsi="Trebuchet MS"/>
          <w:b/>
          <w:color w:val="002060"/>
          <w:sz w:val="19"/>
          <w:szCs w:val="19"/>
        </w:rPr>
        <w:t>Target</w:t>
      </w:r>
      <w:r w:rsidRPr="00455798">
        <w:rPr>
          <w:rFonts w:ascii="Trebuchet MS" w:hAnsi="Trebuchet MS"/>
          <w:b/>
          <w:color w:val="002060"/>
          <w:sz w:val="19"/>
          <w:szCs w:val="19"/>
        </w:rPr>
        <w:t xml:space="preserve"> 8.10</w:t>
      </w:r>
      <w:r w:rsidRPr="00EA25B4">
        <w:rPr>
          <w:rFonts w:ascii="Trebuchet MS" w:hAnsi="Trebuchet MS"/>
          <w:color w:val="002060"/>
          <w:sz w:val="19"/>
          <w:szCs w:val="19"/>
        </w:rPr>
        <w:t>, nella valutazione complessiva non si fa sorprendentemente riferimento alla debolezza attuale del sistema bancario e creditizio italiano (gestione NPL) e delle ripercussioni sui risparmiatori (default) nonché dei temi legati alla vigilanza.</w:t>
      </w:r>
    </w:p>
    <w:p w14:paraId="7F9839A7" w14:textId="77777777" w:rsidR="005B1315" w:rsidRPr="00EA25B4" w:rsidRDefault="005B1315"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Infine sul </w:t>
      </w:r>
      <w:r w:rsidR="00AF5386" w:rsidRPr="00696A2A">
        <w:rPr>
          <w:rFonts w:ascii="Trebuchet MS" w:hAnsi="Trebuchet MS"/>
          <w:b/>
          <w:color w:val="002060"/>
          <w:sz w:val="19"/>
          <w:szCs w:val="19"/>
        </w:rPr>
        <w:t>Target</w:t>
      </w:r>
      <w:r w:rsidRPr="00696A2A">
        <w:rPr>
          <w:rFonts w:ascii="Trebuchet MS" w:hAnsi="Trebuchet MS"/>
          <w:b/>
          <w:color w:val="002060"/>
          <w:sz w:val="19"/>
          <w:szCs w:val="19"/>
        </w:rPr>
        <w:t xml:space="preserve"> 8.b</w:t>
      </w:r>
      <w:r w:rsidRPr="00EA25B4">
        <w:rPr>
          <w:rFonts w:ascii="Trebuchet MS" w:hAnsi="Trebuchet MS"/>
          <w:color w:val="002060"/>
          <w:sz w:val="19"/>
          <w:szCs w:val="19"/>
        </w:rPr>
        <w:t>, si menzionano indicatori che poco hanno a che fare con l'obiettivo da raggiungere e non si fa riferimento alla parabola del Fondo Nazionale per le politiche giovanili, creato nel 2006 e inizialmente dotato di € 130 milioni di euro all'anno e, ora, di poco superiore ai 3 milioni di euro e ad altri Fondi espressamente rivolti ai giovani o anche ad essi destinati (ad esempio, Fondo mutui prima casa).</w:t>
      </w:r>
    </w:p>
    <w:p w14:paraId="0DE8A94B" w14:textId="77777777" w:rsidR="005B1315" w:rsidRPr="00EA25B4" w:rsidRDefault="005B1315" w:rsidP="005A6934">
      <w:pPr>
        <w:spacing w:after="120"/>
        <w:jc w:val="both"/>
        <w:rPr>
          <w:rFonts w:ascii="Trebuchet MS" w:hAnsi="Trebuchet MS"/>
          <w:color w:val="002060"/>
          <w:sz w:val="19"/>
          <w:szCs w:val="19"/>
        </w:rPr>
      </w:pPr>
    </w:p>
    <w:p w14:paraId="31B34BD5" w14:textId="77777777" w:rsidR="008D1050" w:rsidRPr="00EA25B4" w:rsidRDefault="008D1050" w:rsidP="005A6934">
      <w:pPr>
        <w:spacing w:after="120"/>
        <w:jc w:val="both"/>
        <w:rPr>
          <w:rFonts w:ascii="Trebuchet MS" w:hAnsi="Trebuchet MS"/>
          <w:color w:val="002060"/>
          <w:sz w:val="19"/>
          <w:szCs w:val="19"/>
        </w:rPr>
      </w:pPr>
      <w:r w:rsidRPr="00EA25B4">
        <w:rPr>
          <w:rFonts w:ascii="Trebuchet MS" w:hAnsi="Trebuchet MS"/>
          <w:color w:val="002060"/>
          <w:sz w:val="19"/>
          <w:szCs w:val="19"/>
          <w:u w:val="single"/>
        </w:rPr>
        <w:t>Obiettivo 9 – Innovazione e infrastrutture</w:t>
      </w:r>
    </w:p>
    <w:p w14:paraId="4670FCF3" w14:textId="77777777" w:rsidR="008D1050" w:rsidRPr="00EA25B4" w:rsidRDefault="008D1050"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Dall’analisi del Rapporto, in relazione al </w:t>
      </w:r>
      <w:r w:rsidR="00AF5386" w:rsidRPr="00EA25B4">
        <w:rPr>
          <w:rFonts w:ascii="Trebuchet MS" w:hAnsi="Trebuchet MS"/>
          <w:color w:val="002060"/>
          <w:sz w:val="19"/>
          <w:szCs w:val="19"/>
        </w:rPr>
        <w:t>Goal</w:t>
      </w:r>
      <w:r w:rsidRPr="00EA25B4">
        <w:rPr>
          <w:rFonts w:ascii="Trebuchet MS" w:hAnsi="Trebuchet MS"/>
          <w:color w:val="002060"/>
          <w:sz w:val="19"/>
          <w:szCs w:val="19"/>
        </w:rPr>
        <w:t xml:space="preserve"> 9, emergono alcune criticità sotto diversi punti di vista.</w:t>
      </w:r>
      <w:r w:rsidR="002104F5">
        <w:rPr>
          <w:rFonts w:ascii="Trebuchet MS" w:hAnsi="Trebuchet MS"/>
          <w:color w:val="002060"/>
          <w:sz w:val="19"/>
          <w:szCs w:val="19"/>
        </w:rPr>
        <w:t xml:space="preserve">  </w:t>
      </w:r>
      <w:r w:rsidRPr="00EA25B4">
        <w:rPr>
          <w:rFonts w:ascii="Trebuchet MS" w:hAnsi="Trebuchet MS"/>
          <w:color w:val="002060"/>
          <w:sz w:val="19"/>
          <w:szCs w:val="19"/>
        </w:rPr>
        <w:t xml:space="preserve">Il Rapporto, recependo l’indirizzo adottato dalla Commissione Statistica delle Nazioni Unite, analizzando il </w:t>
      </w:r>
      <w:r w:rsidRPr="00EA25B4">
        <w:rPr>
          <w:rFonts w:ascii="Trebuchet MS" w:hAnsi="Trebuchet MS"/>
          <w:b/>
          <w:color w:val="002060"/>
          <w:sz w:val="19"/>
          <w:szCs w:val="19"/>
        </w:rPr>
        <w:t>Target 9.2</w:t>
      </w:r>
      <w:r w:rsidRPr="00EA25B4">
        <w:rPr>
          <w:rFonts w:ascii="Trebuchet MS" w:hAnsi="Trebuchet MS"/>
          <w:color w:val="002060"/>
          <w:sz w:val="19"/>
          <w:szCs w:val="19"/>
        </w:rPr>
        <w:t>, relativo alla promozione dell’industrializzazione inclusiva e sostenibile e all’aumento della quota del settore di occupazione e del prodotto interno lordo, si limita all’analisi dell’impatto delle vicende del settore manifatturiero sull’economia nazionale ed in particolare sul Pil. In particolare, nel Rapporto viene menzionata la drastica riduzione dell’</w:t>
      </w:r>
      <w:r w:rsidRPr="00EA25B4">
        <w:rPr>
          <w:rFonts w:ascii="Trebuchet MS" w:hAnsi="Trebuchet MS"/>
          <w:i/>
          <w:color w:val="002060"/>
          <w:sz w:val="19"/>
          <w:szCs w:val="19"/>
        </w:rPr>
        <w:t>output</w:t>
      </w:r>
      <w:r w:rsidRPr="00EA25B4">
        <w:rPr>
          <w:rFonts w:ascii="Trebuchet MS" w:hAnsi="Trebuchet MS"/>
          <w:color w:val="002060"/>
          <w:sz w:val="19"/>
          <w:szCs w:val="19"/>
        </w:rPr>
        <w:t xml:space="preserve"> manifatturiero, rappresentativa di un crollo generale dovuto alla mancanza di un Piano industriale e alle difficoltà di finanziamento delle piccole e medie imprese. Più precisamente, i dati Istat evidenziano il netto calo, avvenuto tra il 2000 e il 2014, del peso del settore manifatturiero sul Pil, ridotto dal 17,5% al 14,2%; viene altresì evidenziata la drastica riduzione occupazionale in questo settore realizzatasi tra il 2000 e il 2015, che ha visto il passaggio da 4,6 milioni di occupati a 3,9 milioni incidendo anche sulla percentuale di occupati nel manifatturiero rispetto al totale degli occupati, che è passata dal 20% al 15%, mentre negli altri settori, nello stesso p</w:t>
      </w:r>
      <w:r w:rsidR="00452230" w:rsidRPr="00EA25B4">
        <w:rPr>
          <w:rFonts w:ascii="Trebuchet MS" w:hAnsi="Trebuchet MS"/>
          <w:color w:val="002060"/>
          <w:sz w:val="19"/>
          <w:szCs w:val="19"/>
        </w:rPr>
        <w:t xml:space="preserve">eriodo, l’occupazione aumentava. </w:t>
      </w:r>
      <w:r w:rsidRPr="00EA25B4">
        <w:rPr>
          <w:rFonts w:ascii="Trebuchet MS" w:hAnsi="Trebuchet MS"/>
          <w:color w:val="002060"/>
          <w:sz w:val="19"/>
          <w:szCs w:val="19"/>
        </w:rPr>
        <w:t xml:space="preserve">Tuttavia, in aggiunta agli indicatori prescelti dal Ministero, corrispondenti per ragioni metodologiche a quelli selezionati dalle Nazioni Unite, si devono registrare ulteriori fattori, rispetto al solo manifatturiero, che hanno avuto un forte impatto negativo sull’economia del Paese: primo fra tutti è l’insufficienza del finanziamento alle </w:t>
      </w:r>
      <w:r w:rsidRPr="00EA25B4">
        <w:rPr>
          <w:rFonts w:ascii="Trebuchet MS" w:hAnsi="Trebuchet MS"/>
          <w:i/>
          <w:color w:val="002060"/>
          <w:sz w:val="19"/>
          <w:szCs w:val="19"/>
        </w:rPr>
        <w:t>start-up</w:t>
      </w:r>
      <w:r w:rsidRPr="00EA25B4">
        <w:rPr>
          <w:rFonts w:ascii="Trebuchet MS" w:hAnsi="Trebuchet MS"/>
          <w:color w:val="002060"/>
          <w:sz w:val="19"/>
          <w:szCs w:val="19"/>
        </w:rPr>
        <w:t xml:space="preserve"> innovative, che in </w:t>
      </w:r>
      <w:r w:rsidRPr="00EA25B4">
        <w:rPr>
          <w:rFonts w:ascii="Trebuchet MS" w:hAnsi="Trebuchet MS"/>
          <w:color w:val="002060"/>
          <w:sz w:val="19"/>
          <w:szCs w:val="19"/>
        </w:rPr>
        <w:lastRenderedPageBreak/>
        <w:t xml:space="preserve">Italia risulta inferiore ad altri paesi europei, quali Regno Unito e Germania, con conseguenze in termini di migrazione all’estero di talenti, </w:t>
      </w:r>
      <w:r w:rsidRPr="00EA25B4">
        <w:rPr>
          <w:rFonts w:ascii="Trebuchet MS" w:hAnsi="Trebuchet MS"/>
          <w:i/>
          <w:color w:val="002060"/>
          <w:sz w:val="19"/>
          <w:szCs w:val="19"/>
        </w:rPr>
        <w:t>start-up</w:t>
      </w:r>
      <w:r w:rsidRPr="00EA25B4">
        <w:rPr>
          <w:rFonts w:ascii="Trebuchet MS" w:hAnsi="Trebuchet MS"/>
          <w:color w:val="002060"/>
          <w:sz w:val="19"/>
          <w:szCs w:val="19"/>
        </w:rPr>
        <w:t xml:space="preserve"> e di IP.</w:t>
      </w:r>
    </w:p>
    <w:p w14:paraId="77A4D68F" w14:textId="77777777" w:rsidR="008D1050" w:rsidRPr="00EA25B4" w:rsidRDefault="008D1050"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In secondo luogo, va rilevato che i dati utilizzati dal Rapporto fanno spesso riferimento a situazioni antecedenti o riferite al 2013, con evidenti criticità dal punto di vista dell’attualità delle informazioni rappresentate nel Rapporto stesso. La velocità impressa dalla tecnologia è un fenomeno di cui deve tenersi conto anche in questo campo, dal momento che le vicende economiche, i cambiamenti della domanda e le modificazioni strutturali degli scenari rischiano di essere trascurati e di non essere correttamente presi in considerazione. Quel che in questo caso si suggerisce è di raccomandare a coloro che hanno il compito di stabilire le metriche e di fornire i dati, di farlo in tempo il più possibile reale e di renderne disponibile la consultazione in forma elementare come prescritto dalle leggi sugli </w:t>
      </w:r>
      <w:r w:rsidRPr="00EA25B4">
        <w:rPr>
          <w:rFonts w:ascii="Trebuchet MS" w:hAnsi="Trebuchet MS"/>
          <w:i/>
          <w:color w:val="002060"/>
          <w:sz w:val="19"/>
          <w:szCs w:val="19"/>
        </w:rPr>
        <w:t>open data</w:t>
      </w:r>
      <w:r w:rsidRPr="00EA25B4">
        <w:rPr>
          <w:rFonts w:ascii="Trebuchet MS" w:hAnsi="Trebuchet MS"/>
          <w:color w:val="002060"/>
          <w:sz w:val="19"/>
          <w:szCs w:val="19"/>
        </w:rPr>
        <w:t>.</w:t>
      </w:r>
    </w:p>
    <w:p w14:paraId="09C81574" w14:textId="77777777" w:rsidR="008D1050" w:rsidRPr="00EA25B4" w:rsidRDefault="008D1050"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Si suggerisce, infine, di dedicare maggior approfondimento al tema dell’innovazione, la cui definizione rischia di essere confusa con quella di ricerca. Iniziative potrebbero essere intraprese per dedicare all’innovazione una propria autonomia e una propria rilevanza: in particolare si potrebbe in prospettiva pensare a fondi pubblici per progetti di utilizzazione delle conoscenze prodotte dall’attività di ricerca delle Università, sistemi di misura dei risultati, calcolati </w:t>
      </w:r>
      <w:r w:rsidRPr="00EA25B4">
        <w:rPr>
          <w:rFonts w:ascii="Trebuchet MS" w:hAnsi="Trebuchet MS"/>
          <w:i/>
          <w:color w:val="002060"/>
          <w:sz w:val="19"/>
          <w:szCs w:val="19"/>
        </w:rPr>
        <w:t>ex ante</w:t>
      </w:r>
      <w:r w:rsidRPr="00EA25B4">
        <w:rPr>
          <w:rFonts w:ascii="Trebuchet MS" w:hAnsi="Trebuchet MS"/>
          <w:color w:val="002060"/>
          <w:sz w:val="19"/>
          <w:szCs w:val="19"/>
        </w:rPr>
        <w:t>, necessari per l’assegnazione dei fondi. Inoltre sarebbe importante aggiungere un sistema di misura dei risultati sul mercato dei processi di innovazione finanziati.</w:t>
      </w:r>
    </w:p>
    <w:p w14:paraId="5BEBAD06" w14:textId="77777777" w:rsidR="008D1050" w:rsidRDefault="008D1050" w:rsidP="005A6934">
      <w:pPr>
        <w:spacing w:after="120"/>
        <w:jc w:val="both"/>
        <w:rPr>
          <w:rFonts w:ascii="Trebuchet MS" w:hAnsi="Trebuchet MS"/>
          <w:color w:val="002060"/>
          <w:sz w:val="19"/>
          <w:szCs w:val="19"/>
        </w:rPr>
      </w:pPr>
    </w:p>
    <w:p w14:paraId="7B59AD9F" w14:textId="77777777" w:rsidR="008D1050" w:rsidRPr="00EA25B4" w:rsidRDefault="008D1050" w:rsidP="005A6934">
      <w:pPr>
        <w:spacing w:after="120"/>
        <w:jc w:val="both"/>
        <w:rPr>
          <w:rFonts w:ascii="Trebuchet MS" w:hAnsi="Trebuchet MS"/>
          <w:color w:val="002060"/>
          <w:sz w:val="19"/>
          <w:szCs w:val="19"/>
        </w:rPr>
      </w:pPr>
      <w:r w:rsidRPr="00EA25B4">
        <w:rPr>
          <w:rFonts w:ascii="Trebuchet MS" w:hAnsi="Trebuchet MS"/>
          <w:color w:val="002060"/>
          <w:sz w:val="19"/>
          <w:szCs w:val="19"/>
          <w:u w:val="single"/>
        </w:rPr>
        <w:t>Obiettivo 10 – Ridurre le disuguaglianze</w:t>
      </w:r>
    </w:p>
    <w:p w14:paraId="3A66A2ED" w14:textId="77777777" w:rsidR="00EE45B6" w:rsidRPr="00EA25B4"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Per quanto concerne il </w:t>
      </w:r>
      <w:r w:rsidR="00AF5386" w:rsidRPr="00EA25B4">
        <w:rPr>
          <w:rFonts w:ascii="Trebuchet MS" w:hAnsi="Trebuchet MS"/>
          <w:color w:val="002060"/>
          <w:sz w:val="19"/>
          <w:szCs w:val="19"/>
        </w:rPr>
        <w:t>Goal</w:t>
      </w:r>
      <w:r w:rsidRPr="00EA25B4">
        <w:rPr>
          <w:rFonts w:ascii="Trebuchet MS" w:hAnsi="Trebuchet MS"/>
          <w:color w:val="002060"/>
          <w:sz w:val="19"/>
          <w:szCs w:val="19"/>
        </w:rPr>
        <w:t xml:space="preserve"> 10, l’Alleanza ha for</w:t>
      </w:r>
      <w:r w:rsidR="00AD7799">
        <w:rPr>
          <w:rFonts w:ascii="Trebuchet MS" w:hAnsi="Trebuchet MS"/>
          <w:color w:val="002060"/>
          <w:sz w:val="19"/>
          <w:szCs w:val="19"/>
        </w:rPr>
        <w:t>mulato le seguenti osservazioni, condividendo l’indirizzo adottato dal Ministero, secondo il quale i Target individuati dalla Commissione statistica dell’Onu non sembrano del tutto adatti e comunque non esaurienti per analizzare la complessità e la trasversalità di questo Goal. Si rende necessaria, pertanto una integrazione di essi secondo le specificità del contesto italiano.</w:t>
      </w:r>
    </w:p>
    <w:p w14:paraId="0E8522CF" w14:textId="77777777" w:rsidR="00EE45B6" w:rsidRPr="00EA25B4"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t>L’Obiettivo 10 dell’Agenda 2030 “</w:t>
      </w:r>
      <w:r w:rsidRPr="00EA25B4">
        <w:rPr>
          <w:rFonts w:ascii="Trebuchet MS" w:hAnsi="Trebuchet MS"/>
          <w:i/>
          <w:color w:val="002060"/>
          <w:sz w:val="19"/>
          <w:szCs w:val="19"/>
        </w:rPr>
        <w:t>Ridurre le disuguaglianze all’interno e fra le Nazioni</w:t>
      </w:r>
      <w:r w:rsidRPr="00EA25B4">
        <w:rPr>
          <w:rFonts w:ascii="Trebuchet MS" w:hAnsi="Trebuchet MS"/>
          <w:color w:val="002060"/>
          <w:sz w:val="19"/>
          <w:szCs w:val="19"/>
        </w:rPr>
        <w:t>” punta l’attenzione sull’inclusione sociale, economica e politica di tutti i cittadini. Tali aspetti risentono fortemente, in ogni Paese, della cultura e delle regole nazionali, ma anche delle specifiche condizioni di c</w:t>
      </w:r>
      <w:r w:rsidR="00452230" w:rsidRPr="00EA25B4">
        <w:rPr>
          <w:rFonts w:ascii="Trebuchet MS" w:hAnsi="Trebuchet MS"/>
          <w:color w:val="002060"/>
          <w:sz w:val="19"/>
          <w:szCs w:val="19"/>
        </w:rPr>
        <w:t>ontesto (famiglia, territorio).</w:t>
      </w:r>
    </w:p>
    <w:p w14:paraId="24952855" w14:textId="77777777" w:rsidR="00EE45B6" w:rsidRPr="00EA25B4"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t>Nel selezionare una batteria di indicatori</w:t>
      </w:r>
      <w:r w:rsidRPr="00EA25B4">
        <w:rPr>
          <w:rFonts w:ascii="Trebuchet MS" w:hAnsi="Trebuchet MS"/>
          <w:i/>
          <w:color w:val="002060"/>
          <w:sz w:val="19"/>
          <w:szCs w:val="19"/>
        </w:rPr>
        <w:t xml:space="preserve"> </w:t>
      </w:r>
      <w:r w:rsidRPr="00EA25B4">
        <w:rPr>
          <w:rFonts w:ascii="Trebuchet MS" w:hAnsi="Trebuchet MS"/>
          <w:color w:val="002060"/>
          <w:sz w:val="19"/>
          <w:szCs w:val="19"/>
        </w:rPr>
        <w:t>che colgano per il nostro Paese i profil</w:t>
      </w:r>
      <w:r w:rsidR="00452230" w:rsidRPr="00EA25B4">
        <w:rPr>
          <w:rFonts w:ascii="Trebuchet MS" w:hAnsi="Trebuchet MS"/>
          <w:color w:val="002060"/>
          <w:sz w:val="19"/>
          <w:szCs w:val="19"/>
        </w:rPr>
        <w:t xml:space="preserve">i più rilevanti dell’inclusione </w:t>
      </w:r>
      <w:r w:rsidRPr="00EA25B4">
        <w:rPr>
          <w:rFonts w:ascii="Trebuchet MS" w:hAnsi="Trebuchet MS"/>
          <w:color w:val="002060"/>
          <w:sz w:val="19"/>
          <w:szCs w:val="19"/>
        </w:rPr>
        <w:t>- sui quali concentrare l’impegno per una rilevazione tempestiva, una comunicazione aperta e un’azione pubblica - il Ministero dell’Ambiente ha correttamente rilevato come l’Obiettivo sia “</w:t>
      </w:r>
      <w:r w:rsidRPr="00EA25B4">
        <w:rPr>
          <w:rFonts w:ascii="Trebuchet MS" w:hAnsi="Trebuchet MS"/>
          <w:i/>
          <w:color w:val="002060"/>
          <w:sz w:val="19"/>
          <w:szCs w:val="19"/>
        </w:rPr>
        <w:t>molto complesso</w:t>
      </w:r>
      <w:r w:rsidR="00452230" w:rsidRPr="00EA25B4">
        <w:rPr>
          <w:rFonts w:ascii="Trebuchet MS" w:hAnsi="Trebuchet MS"/>
          <w:i/>
          <w:color w:val="002060"/>
          <w:sz w:val="19"/>
          <w:szCs w:val="19"/>
        </w:rPr>
        <w:t>,</w:t>
      </w:r>
      <w:r w:rsidRPr="00EA25B4">
        <w:rPr>
          <w:rFonts w:ascii="Trebuchet MS" w:hAnsi="Trebuchet MS"/>
          <w:i/>
          <w:color w:val="002060"/>
          <w:sz w:val="19"/>
          <w:szCs w:val="19"/>
        </w:rPr>
        <w:t xml:space="preserve"> dato che concerne </w:t>
      </w:r>
      <w:r w:rsidR="00AF5386" w:rsidRPr="00EA25B4">
        <w:rPr>
          <w:rFonts w:ascii="Trebuchet MS" w:hAnsi="Trebuchet MS"/>
          <w:i/>
          <w:color w:val="002060"/>
          <w:sz w:val="19"/>
          <w:szCs w:val="19"/>
        </w:rPr>
        <w:t>Target</w:t>
      </w:r>
      <w:r w:rsidRPr="00EA25B4">
        <w:rPr>
          <w:rFonts w:ascii="Trebuchet MS" w:hAnsi="Trebuchet MS"/>
          <w:i/>
          <w:color w:val="002060"/>
          <w:sz w:val="19"/>
          <w:szCs w:val="19"/>
        </w:rPr>
        <w:t xml:space="preserve"> di difficile quantificazione e misurazione</w:t>
      </w:r>
      <w:r w:rsidRPr="00EA25B4">
        <w:rPr>
          <w:rFonts w:ascii="Trebuchet MS" w:hAnsi="Trebuchet MS"/>
          <w:color w:val="002060"/>
          <w:sz w:val="19"/>
          <w:szCs w:val="19"/>
        </w:rPr>
        <w:t>”: “</w:t>
      </w:r>
      <w:r w:rsidR="00894031" w:rsidRPr="00EA25B4">
        <w:rPr>
          <w:rFonts w:ascii="Trebuchet MS" w:hAnsi="Trebuchet MS"/>
          <w:i/>
          <w:color w:val="002060"/>
          <w:sz w:val="19"/>
          <w:szCs w:val="19"/>
        </w:rPr>
        <w:t>i T</w:t>
      </w:r>
      <w:r w:rsidRPr="00EA25B4">
        <w:rPr>
          <w:rFonts w:ascii="Trebuchet MS" w:hAnsi="Trebuchet MS"/>
          <w:i/>
          <w:color w:val="002060"/>
          <w:sz w:val="19"/>
          <w:szCs w:val="19"/>
        </w:rPr>
        <w:t xml:space="preserve">arget sono spesso qualitativi; inoltre, gli indicatori associati sovente non hanno una completa attinenza con i </w:t>
      </w:r>
      <w:r w:rsidR="00AF5386" w:rsidRPr="00EA25B4">
        <w:rPr>
          <w:rFonts w:ascii="Trebuchet MS" w:hAnsi="Trebuchet MS"/>
          <w:i/>
          <w:color w:val="002060"/>
          <w:sz w:val="19"/>
          <w:szCs w:val="19"/>
        </w:rPr>
        <w:t>Target</w:t>
      </w:r>
      <w:r w:rsidRPr="00EA25B4">
        <w:rPr>
          <w:rFonts w:ascii="Trebuchet MS" w:hAnsi="Trebuchet MS"/>
          <w:i/>
          <w:color w:val="002060"/>
          <w:sz w:val="19"/>
          <w:szCs w:val="19"/>
        </w:rPr>
        <w:t xml:space="preserve"> stessi, o al più sono parte delle conseguenze attese dall’applicazione di politiche più complessive che sottendono ai </w:t>
      </w:r>
      <w:r w:rsidR="00AF5386" w:rsidRPr="00EA25B4">
        <w:rPr>
          <w:rFonts w:ascii="Trebuchet MS" w:hAnsi="Trebuchet MS"/>
          <w:i/>
          <w:color w:val="002060"/>
          <w:sz w:val="19"/>
          <w:szCs w:val="19"/>
        </w:rPr>
        <w:t>Target</w:t>
      </w:r>
      <w:r w:rsidRPr="00EA25B4">
        <w:rPr>
          <w:rFonts w:ascii="Trebuchet MS" w:hAnsi="Trebuchet MS"/>
          <w:i/>
          <w:color w:val="002060"/>
          <w:sz w:val="19"/>
          <w:szCs w:val="19"/>
        </w:rPr>
        <w:t xml:space="preserve">; infine, i </w:t>
      </w:r>
      <w:r w:rsidR="00AF5386" w:rsidRPr="00EA25B4">
        <w:rPr>
          <w:rFonts w:ascii="Trebuchet MS" w:hAnsi="Trebuchet MS"/>
          <w:i/>
          <w:color w:val="002060"/>
          <w:sz w:val="19"/>
          <w:szCs w:val="19"/>
        </w:rPr>
        <w:t>Target</w:t>
      </w:r>
      <w:r w:rsidRPr="00EA25B4">
        <w:rPr>
          <w:rFonts w:ascii="Trebuchet MS" w:hAnsi="Trebuchet MS"/>
          <w:i/>
          <w:color w:val="002060"/>
          <w:sz w:val="19"/>
          <w:szCs w:val="19"/>
        </w:rPr>
        <w:t xml:space="preserve"> internazionali e quelli trasversali che tendono a misurare la disuguaglianza fra nazioni presuppongono delle azioni concertate con il resto delle nazioni sviluppate e non, per cui risulta difficile is</w:t>
      </w:r>
      <w:r w:rsidR="00452230" w:rsidRPr="00EA25B4">
        <w:rPr>
          <w:rFonts w:ascii="Trebuchet MS" w:hAnsi="Trebuchet MS"/>
          <w:i/>
          <w:color w:val="002060"/>
          <w:sz w:val="19"/>
          <w:szCs w:val="19"/>
        </w:rPr>
        <w:t>olare il contributo dell’Italia</w:t>
      </w:r>
      <w:r w:rsidRPr="00EA25B4">
        <w:rPr>
          <w:rFonts w:ascii="Trebuchet MS" w:hAnsi="Trebuchet MS"/>
          <w:i/>
          <w:color w:val="002060"/>
          <w:sz w:val="19"/>
          <w:szCs w:val="19"/>
        </w:rPr>
        <w:t>”</w:t>
      </w:r>
      <w:r w:rsidRPr="00EA25B4">
        <w:rPr>
          <w:rFonts w:ascii="Trebuchet MS" w:hAnsi="Trebuchet MS"/>
          <w:color w:val="002060"/>
          <w:sz w:val="19"/>
          <w:szCs w:val="19"/>
        </w:rPr>
        <w:t xml:space="preserve"> (p. 470 del Rapporto).</w:t>
      </w:r>
    </w:p>
    <w:p w14:paraId="09390326" w14:textId="77777777" w:rsidR="00EE45B6" w:rsidRPr="00EA25B4"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Come già indicato dall’Alleanza, gli indicatori IAEG-SDGs per l’Obiettivo 10 dovranno quindi necessariamente essere adattati e integrati con indicatori appropriati per il quadro italiano, tenendo conto delle diverse dimensioni dell’inclusione sociale (e quindi anche di alcuni </w:t>
      </w:r>
      <w:r w:rsidR="00AF5386" w:rsidRPr="00EA25B4">
        <w:rPr>
          <w:rFonts w:ascii="Trebuchet MS" w:hAnsi="Trebuchet MS"/>
          <w:color w:val="002060"/>
          <w:sz w:val="19"/>
          <w:szCs w:val="19"/>
        </w:rPr>
        <w:t>Target</w:t>
      </w:r>
      <w:r w:rsidRPr="00EA25B4">
        <w:rPr>
          <w:rFonts w:ascii="Trebuchet MS" w:hAnsi="Trebuchet MS"/>
          <w:color w:val="002060"/>
          <w:sz w:val="19"/>
          <w:szCs w:val="19"/>
        </w:rPr>
        <w:t xml:space="preserve"> contenuti in altri Obiettivi rilevanti dell’Agenda 2030) e rilevando il peso del contesto territoriale.</w:t>
      </w:r>
    </w:p>
    <w:p w14:paraId="6B3A7A1B" w14:textId="77777777" w:rsidR="00EE45B6" w:rsidRPr="00EA25B4"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t>La strada da intraprendere è indicata dal quadro concettuale e dalle prime ipotesi operative prefigurate dall’Alleanza, per cui si rimanda al Rapporto ASviS 2016 e alla lista di indicatori già proposti (inviata al Ministero e qui nuovamente allegata). In coerenza con il dettato costituzionale (art.3 Cost.), è opportuno individuare quattro dimensioni rilevanti per valutare le disuguaglianze: 1</w:t>
      </w:r>
      <w:r w:rsidRPr="00EA25B4">
        <w:rPr>
          <w:rFonts w:ascii="Trebuchet MS" w:hAnsi="Trebuchet MS"/>
          <w:b/>
          <w:i/>
          <w:color w:val="002060"/>
          <w:sz w:val="19"/>
          <w:szCs w:val="19"/>
        </w:rPr>
        <w:t>) Accesso e qualità dei servizi fondamentali</w:t>
      </w:r>
      <w:r w:rsidRPr="00EA25B4">
        <w:rPr>
          <w:rFonts w:ascii="Trebuchet MS" w:hAnsi="Trebuchet MS"/>
          <w:color w:val="002060"/>
          <w:sz w:val="19"/>
          <w:szCs w:val="19"/>
        </w:rPr>
        <w:t>; 2</w:t>
      </w:r>
      <w:r w:rsidRPr="00EA25B4">
        <w:rPr>
          <w:rFonts w:ascii="Trebuchet MS" w:hAnsi="Trebuchet MS"/>
          <w:b/>
          <w:i/>
          <w:color w:val="002060"/>
          <w:sz w:val="19"/>
          <w:szCs w:val="19"/>
        </w:rPr>
        <w:t>) Ruolo autonomo nel sistema di produzione</w:t>
      </w:r>
      <w:r w:rsidRPr="00EA25B4">
        <w:rPr>
          <w:rFonts w:ascii="Trebuchet MS" w:hAnsi="Trebuchet MS"/>
          <w:color w:val="002060"/>
          <w:sz w:val="19"/>
          <w:szCs w:val="19"/>
        </w:rPr>
        <w:t>;</w:t>
      </w:r>
      <w:r w:rsidR="00F8277D" w:rsidRPr="00EA25B4">
        <w:rPr>
          <w:rFonts w:ascii="Trebuchet MS" w:hAnsi="Trebuchet MS"/>
          <w:b/>
          <w:i/>
          <w:color w:val="002060"/>
          <w:sz w:val="19"/>
          <w:szCs w:val="19"/>
        </w:rPr>
        <w:t xml:space="preserve"> </w:t>
      </w:r>
      <w:r w:rsidRPr="00EA25B4">
        <w:rPr>
          <w:rFonts w:ascii="Trebuchet MS" w:hAnsi="Trebuchet MS"/>
          <w:b/>
          <w:i/>
          <w:color w:val="002060"/>
          <w:sz w:val="19"/>
          <w:szCs w:val="19"/>
        </w:rPr>
        <w:t>3) Partecipazione alle pubbliche decisioni;  4)</w:t>
      </w:r>
      <w:r w:rsidRPr="00EA25B4">
        <w:rPr>
          <w:rFonts w:ascii="Trebuchet MS" w:hAnsi="Trebuchet MS"/>
          <w:b/>
          <w:color w:val="002060"/>
          <w:sz w:val="19"/>
          <w:szCs w:val="19"/>
        </w:rPr>
        <w:t xml:space="preserve"> </w:t>
      </w:r>
      <w:r w:rsidRPr="00EA25B4">
        <w:rPr>
          <w:rFonts w:ascii="Trebuchet MS" w:hAnsi="Trebuchet MS"/>
          <w:b/>
          <w:i/>
          <w:color w:val="002060"/>
          <w:sz w:val="19"/>
          <w:szCs w:val="19"/>
        </w:rPr>
        <w:t>Reddito e ricchezza</w:t>
      </w:r>
      <w:r w:rsidRPr="00EA25B4">
        <w:rPr>
          <w:rFonts w:ascii="Trebuchet MS" w:hAnsi="Trebuchet MS"/>
          <w:color w:val="002060"/>
          <w:sz w:val="19"/>
          <w:szCs w:val="19"/>
        </w:rPr>
        <w:t>. Gli indicatori al momento considerati nel rapporto del Ministero dell’Ambiente fanno invece riferimento esclusivamente alla quarta dimensione (indicatore 10.1.1 “Tasso di crescita della spesa media mensile familiare del 40% più povero della popolazione rispetto alla media della popolazione”; indicatore 10.2.1 “percentuale di persone al di sotto del 60% del reddito mediano nazionale”; indicatore 10.4.1 “quota del reddito da lavoro sul PIL”). Una simile scelta permetterebbe di aprire il dibattito alle altre dimensioni dell’ineguaglianza. Per l’</w:t>
      </w:r>
      <w:r w:rsidRPr="00EA25B4">
        <w:rPr>
          <w:rFonts w:ascii="Trebuchet MS" w:hAnsi="Trebuchet MS"/>
          <w:b/>
          <w:i/>
          <w:color w:val="002060"/>
          <w:sz w:val="19"/>
          <w:szCs w:val="19"/>
        </w:rPr>
        <w:t>accesso e qualità dei servizi per l’istruzione e la salute</w:t>
      </w:r>
      <w:r w:rsidRPr="00EA25B4">
        <w:rPr>
          <w:rFonts w:ascii="Trebuchet MS" w:hAnsi="Trebuchet MS"/>
          <w:color w:val="002060"/>
          <w:sz w:val="19"/>
          <w:szCs w:val="19"/>
        </w:rPr>
        <w:t xml:space="preserve"> si dovrà tener conto sia dell’accesso effettivo ai servizi (l’offerta di servizio è adeguata alla domanda e quest’ultima è consapevole dell’offerta), sia della qualità del servizio (indipendenza della qualità dalle condizioni di contesto territoriali e </w:t>
      </w:r>
      <w:r w:rsidRPr="00EA25B4">
        <w:rPr>
          <w:rFonts w:ascii="Trebuchet MS" w:hAnsi="Trebuchet MS"/>
          <w:color w:val="002060"/>
          <w:sz w:val="19"/>
          <w:szCs w:val="19"/>
        </w:rPr>
        <w:lastRenderedPageBreak/>
        <w:t>familiari)</w:t>
      </w:r>
      <w:r w:rsidRPr="00EA25B4">
        <w:rPr>
          <w:rFonts w:ascii="Trebuchet MS" w:hAnsi="Trebuchet MS"/>
          <w:color w:val="002060"/>
          <w:sz w:val="19"/>
          <w:szCs w:val="19"/>
          <w:vertAlign w:val="superscript"/>
        </w:rPr>
        <w:footnoteReference w:id="1"/>
      </w:r>
      <w:r w:rsidRPr="00EA25B4">
        <w:rPr>
          <w:rFonts w:ascii="Trebuchet MS" w:hAnsi="Trebuchet MS"/>
          <w:color w:val="002060"/>
          <w:sz w:val="19"/>
          <w:szCs w:val="19"/>
        </w:rPr>
        <w:t xml:space="preserve">. Il </w:t>
      </w:r>
      <w:r w:rsidRPr="00EA25B4">
        <w:rPr>
          <w:rFonts w:ascii="Trebuchet MS" w:hAnsi="Trebuchet MS"/>
          <w:b/>
          <w:color w:val="002060"/>
          <w:sz w:val="19"/>
          <w:szCs w:val="19"/>
        </w:rPr>
        <w:t>ruolo autonomo nel sistema di produzione</w:t>
      </w:r>
      <w:r w:rsidRPr="00EA25B4">
        <w:rPr>
          <w:rFonts w:ascii="Trebuchet MS" w:hAnsi="Trebuchet MS"/>
          <w:color w:val="002060"/>
          <w:sz w:val="19"/>
          <w:szCs w:val="19"/>
        </w:rPr>
        <w:t xml:space="preserve">, aspetto particolarmente rilevante per un paese a imprenditorialità diffusa, è esemplificato dalla quota di imprese familiari il cui management è estraneo alla famiglia. La </w:t>
      </w:r>
      <w:r w:rsidRPr="00EA25B4">
        <w:rPr>
          <w:rFonts w:ascii="Trebuchet MS" w:hAnsi="Trebuchet MS"/>
          <w:b/>
          <w:color w:val="002060"/>
          <w:sz w:val="19"/>
          <w:szCs w:val="19"/>
        </w:rPr>
        <w:t>partecipazione alle pubbliche decisioni</w:t>
      </w:r>
      <w:r w:rsidRPr="00EA25B4">
        <w:rPr>
          <w:rFonts w:ascii="Trebuchet MS" w:hAnsi="Trebuchet MS"/>
          <w:color w:val="002060"/>
          <w:sz w:val="19"/>
          <w:szCs w:val="19"/>
        </w:rPr>
        <w:t xml:space="preserve"> andrà colto da misure della partecipazione sulle quali sono in corso investimenti.</w:t>
      </w:r>
    </w:p>
    <w:p w14:paraId="3D6B4B94" w14:textId="77777777" w:rsidR="00EE45B6" w:rsidRPr="00EA25B4" w:rsidRDefault="00EE45B6" w:rsidP="005A6934">
      <w:pPr>
        <w:spacing w:after="120"/>
        <w:jc w:val="both"/>
        <w:rPr>
          <w:rFonts w:ascii="Trebuchet MS" w:hAnsi="Trebuchet MS"/>
          <w:color w:val="002060"/>
          <w:sz w:val="19"/>
          <w:szCs w:val="19"/>
        </w:rPr>
      </w:pPr>
    </w:p>
    <w:p w14:paraId="583F4AA6" w14:textId="77777777" w:rsidR="008D1050" w:rsidRPr="00EA25B4" w:rsidRDefault="008D1050" w:rsidP="005A6934">
      <w:pPr>
        <w:spacing w:after="120"/>
        <w:jc w:val="both"/>
        <w:rPr>
          <w:rFonts w:ascii="Trebuchet MS" w:hAnsi="Trebuchet MS"/>
          <w:color w:val="002060"/>
          <w:sz w:val="19"/>
          <w:szCs w:val="19"/>
        </w:rPr>
      </w:pPr>
      <w:r w:rsidRPr="00EA25B4">
        <w:rPr>
          <w:rFonts w:ascii="Trebuchet MS" w:hAnsi="Trebuchet MS"/>
          <w:color w:val="002060"/>
          <w:sz w:val="19"/>
          <w:szCs w:val="19"/>
          <w:u w:val="single"/>
        </w:rPr>
        <w:t>Obiettivo 11 – Città e comunità sostenibili</w:t>
      </w:r>
    </w:p>
    <w:p w14:paraId="0F1FB300" w14:textId="77777777" w:rsidR="00EE45B6" w:rsidRPr="00EA25B4" w:rsidRDefault="00665BF2" w:rsidP="005A6934">
      <w:pPr>
        <w:spacing w:after="120"/>
        <w:jc w:val="both"/>
        <w:rPr>
          <w:rFonts w:ascii="Trebuchet MS" w:hAnsi="Trebuchet MS"/>
          <w:color w:val="002060"/>
          <w:sz w:val="19"/>
          <w:szCs w:val="19"/>
        </w:rPr>
      </w:pPr>
      <w:r w:rsidRPr="00EA25B4">
        <w:rPr>
          <w:rFonts w:ascii="Trebuchet MS" w:hAnsi="Trebuchet MS"/>
          <w:color w:val="002060"/>
          <w:sz w:val="19"/>
          <w:szCs w:val="19"/>
        </w:rPr>
        <w:t>Quanto al Goal 11, si ritiene di formulare le seguenti osservazioni.</w:t>
      </w:r>
      <w:r w:rsidR="002104F5">
        <w:rPr>
          <w:rFonts w:ascii="Trebuchet MS" w:hAnsi="Trebuchet MS"/>
          <w:color w:val="002060"/>
          <w:sz w:val="19"/>
          <w:szCs w:val="19"/>
        </w:rPr>
        <w:t xml:space="preserve"> </w:t>
      </w:r>
      <w:r w:rsidRPr="00EA25B4">
        <w:rPr>
          <w:rFonts w:ascii="Trebuchet MS" w:hAnsi="Trebuchet MS"/>
          <w:color w:val="002060"/>
          <w:sz w:val="19"/>
          <w:szCs w:val="19"/>
        </w:rPr>
        <w:t xml:space="preserve">Riguardo al </w:t>
      </w:r>
      <w:r w:rsidRPr="00EA25B4">
        <w:rPr>
          <w:rFonts w:ascii="Trebuchet MS" w:hAnsi="Trebuchet MS"/>
          <w:b/>
          <w:color w:val="002060"/>
          <w:sz w:val="19"/>
          <w:szCs w:val="19"/>
        </w:rPr>
        <w:t>Target 11.1</w:t>
      </w:r>
      <w:r w:rsidRPr="00EA25B4">
        <w:rPr>
          <w:rFonts w:ascii="Trebuchet MS" w:hAnsi="Trebuchet MS"/>
          <w:color w:val="002060"/>
          <w:sz w:val="19"/>
          <w:szCs w:val="19"/>
        </w:rPr>
        <w:t xml:space="preserve"> nulla si rileva sull’analisi dei dati, se non l’estrema sinteticità. Il ruolo degli incentivi al 50% per la ristrutturazione, valorizzazione e </w:t>
      </w:r>
      <w:r w:rsidR="00D15370">
        <w:rPr>
          <w:rFonts w:ascii="Trebuchet MS" w:hAnsi="Trebuchet MS"/>
          <w:color w:val="002060"/>
          <w:sz w:val="19"/>
          <w:szCs w:val="19"/>
        </w:rPr>
        <w:t>conservazione</w:t>
      </w:r>
      <w:r w:rsidRPr="00EA25B4">
        <w:rPr>
          <w:rFonts w:ascii="Trebuchet MS" w:hAnsi="Trebuchet MS"/>
          <w:color w:val="002060"/>
          <w:sz w:val="19"/>
          <w:szCs w:val="19"/>
        </w:rPr>
        <w:t xml:space="preserve"> citati dal Rapporto potrebbero essere accompagnati dagli incentivi per l’efficienza energetica al 55%-65%, che pure guardano al miglioramento del </w:t>
      </w:r>
      <w:r w:rsidRPr="00895CE3">
        <w:rPr>
          <w:rFonts w:ascii="Trebuchet MS" w:hAnsi="Trebuchet MS"/>
          <w:i/>
          <w:color w:val="002060"/>
          <w:sz w:val="19"/>
          <w:szCs w:val="19"/>
        </w:rPr>
        <w:t>comfort</w:t>
      </w:r>
      <w:r w:rsidRPr="00EA25B4">
        <w:rPr>
          <w:rFonts w:ascii="Trebuchet MS" w:hAnsi="Trebuchet MS"/>
          <w:color w:val="002060"/>
          <w:sz w:val="19"/>
          <w:szCs w:val="19"/>
        </w:rPr>
        <w:t xml:space="preserve"> termico e alla salubrità delle abitazioni; tuttavia, quanto ai primi, non sembrano idonei ad indicare la riduzione del disagio abitativo effettivo. Sarebbe utile, poi, analizzare i dati sul disagio abitativo anche alla luce delle statistiche sulla povertà, al fine di meglio caratterizza</w:t>
      </w:r>
      <w:r w:rsidR="00653B55" w:rsidRPr="00EA25B4">
        <w:rPr>
          <w:rFonts w:ascii="Trebuchet MS" w:hAnsi="Trebuchet MS"/>
          <w:color w:val="002060"/>
          <w:sz w:val="19"/>
          <w:szCs w:val="19"/>
        </w:rPr>
        <w:t xml:space="preserve"> </w:t>
      </w:r>
      <w:r w:rsidRPr="00EA25B4">
        <w:rPr>
          <w:rFonts w:ascii="Trebuchet MS" w:hAnsi="Trebuchet MS"/>
          <w:color w:val="002060"/>
          <w:sz w:val="19"/>
          <w:szCs w:val="19"/>
        </w:rPr>
        <w:t>tre il fenomeno ed orientare con maggior efficacia le politiche di incentivazione. Infatti, dal momento che l’incentivo è sviluppato sulla base di un recupero delle somme spese dall’Irpef riferito ai dieci anni successivi alla ristrutturazione, l’immediata disponibilità economica delle risorse è condizione imprescindibile e non alla portata delle famiglie a basso reddito.</w:t>
      </w:r>
    </w:p>
    <w:p w14:paraId="4E22C1AB" w14:textId="77777777" w:rsidR="00A809CE" w:rsidRDefault="00665BF2"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Quanto al </w:t>
      </w:r>
      <w:r w:rsidRPr="00EA25B4">
        <w:rPr>
          <w:rFonts w:ascii="Trebuchet MS" w:hAnsi="Trebuchet MS"/>
          <w:b/>
          <w:color w:val="002060"/>
          <w:sz w:val="19"/>
          <w:szCs w:val="19"/>
        </w:rPr>
        <w:t>Target 11.2</w:t>
      </w:r>
      <w:r w:rsidRPr="00EA25B4">
        <w:rPr>
          <w:rFonts w:ascii="Trebuchet MS" w:hAnsi="Trebuchet MS"/>
          <w:color w:val="002060"/>
          <w:sz w:val="19"/>
          <w:szCs w:val="19"/>
        </w:rPr>
        <w:t>, esso si concentra solo sui dati del TPL. Di fatto, in parallelo e a fronte dei tagli statali al TPL, è stata incentivata la mobilità privata</w:t>
      </w:r>
      <w:r w:rsidR="00A809CE" w:rsidRPr="00EA25B4">
        <w:rPr>
          <w:rFonts w:ascii="Trebuchet MS" w:hAnsi="Trebuchet MS"/>
          <w:color w:val="002060"/>
          <w:sz w:val="19"/>
          <w:szCs w:val="19"/>
        </w:rPr>
        <w:t xml:space="preserve">, con incentivi alla rottamazione e con la realizzazione di nuove infrastrutture stradali. Allo stesso tempo, l’aumento dello </w:t>
      </w:r>
      <w:r w:rsidR="00A809CE" w:rsidRPr="00EA25B4">
        <w:rPr>
          <w:rFonts w:ascii="Trebuchet MS" w:hAnsi="Trebuchet MS"/>
          <w:i/>
          <w:color w:val="002060"/>
          <w:sz w:val="19"/>
          <w:szCs w:val="19"/>
        </w:rPr>
        <w:t>sprawl</w:t>
      </w:r>
      <w:r w:rsidR="00A809CE" w:rsidRPr="00EA25B4">
        <w:rPr>
          <w:rFonts w:ascii="Trebuchet MS" w:hAnsi="Trebuchet MS"/>
          <w:color w:val="002060"/>
          <w:sz w:val="19"/>
          <w:szCs w:val="19"/>
        </w:rPr>
        <w:t xml:space="preserve"> urbano rende più onerosi i costi infrastrutturali unitari di TPL. Si rileva, inoltre, la mancanza di dati riferiti ai fenomeni innovativi del </w:t>
      </w:r>
      <w:r w:rsidR="00A809CE" w:rsidRPr="00EA25B4">
        <w:rPr>
          <w:rFonts w:ascii="Trebuchet MS" w:hAnsi="Trebuchet MS"/>
          <w:i/>
          <w:color w:val="002060"/>
          <w:sz w:val="19"/>
          <w:szCs w:val="19"/>
        </w:rPr>
        <w:t>car-sharing</w:t>
      </w:r>
      <w:r w:rsidR="00A809CE" w:rsidRPr="00EA25B4">
        <w:rPr>
          <w:rFonts w:ascii="Trebuchet MS" w:hAnsi="Trebuchet MS"/>
          <w:color w:val="002060"/>
          <w:sz w:val="19"/>
          <w:szCs w:val="19"/>
        </w:rPr>
        <w:t xml:space="preserve"> e del </w:t>
      </w:r>
      <w:r w:rsidR="00A809CE" w:rsidRPr="00EA25B4">
        <w:rPr>
          <w:rFonts w:ascii="Trebuchet MS" w:hAnsi="Trebuchet MS"/>
          <w:i/>
          <w:color w:val="002060"/>
          <w:sz w:val="19"/>
          <w:szCs w:val="19"/>
        </w:rPr>
        <w:t>car-pooling</w:t>
      </w:r>
      <w:r w:rsidR="00A809CE" w:rsidRPr="00EA25B4">
        <w:rPr>
          <w:rFonts w:ascii="Trebuchet MS" w:hAnsi="Trebuchet MS"/>
          <w:color w:val="002060"/>
          <w:sz w:val="19"/>
          <w:szCs w:val="19"/>
        </w:rPr>
        <w:t>.</w:t>
      </w:r>
    </w:p>
    <w:p w14:paraId="266C9F94" w14:textId="77777777" w:rsidR="00EE45B6" w:rsidRPr="00EA25B4" w:rsidRDefault="00A809CE"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Rispetto al </w:t>
      </w:r>
      <w:r w:rsidRPr="00EA25B4">
        <w:rPr>
          <w:rFonts w:ascii="Trebuchet MS" w:hAnsi="Trebuchet MS"/>
          <w:b/>
          <w:color w:val="002060"/>
          <w:sz w:val="19"/>
          <w:szCs w:val="19"/>
        </w:rPr>
        <w:t>Target 11.4</w:t>
      </w:r>
      <w:r w:rsidRPr="00EA25B4">
        <w:rPr>
          <w:rFonts w:ascii="Trebuchet MS" w:hAnsi="Trebuchet MS"/>
          <w:color w:val="002060"/>
          <w:sz w:val="19"/>
          <w:szCs w:val="19"/>
        </w:rPr>
        <w:t xml:space="preserve"> si esprimono perplessità circa l’adeguatezza dell’indicatore IAEG-SDGs a rappresentare l’effettività dell’impegno a salvaguardare il patrimonio culturale e naturale del pianeta. L’indicatore è infatti focalizzato sulla sola entità della spesa dedicata e potrebbe risultare sviante rispetto alla necessità di proporre politiche che approfondiscano la conoscenza e analizzino entità e potenzialità del patrimonio culturale e naturale a livello locale, di redigere atti di pianificazione, gestione e monitoraggio al fine di dare concretezza all’impegno.</w:t>
      </w:r>
    </w:p>
    <w:p w14:paraId="3032BE2B" w14:textId="77777777" w:rsidR="00A809CE" w:rsidRPr="00EA25B4" w:rsidRDefault="00637B42" w:rsidP="005A6934">
      <w:pPr>
        <w:spacing w:after="120"/>
        <w:jc w:val="both"/>
        <w:rPr>
          <w:rFonts w:ascii="Trebuchet MS" w:hAnsi="Trebuchet MS"/>
          <w:color w:val="002060"/>
          <w:sz w:val="19"/>
          <w:szCs w:val="19"/>
        </w:rPr>
      </w:pPr>
      <w:r>
        <w:rPr>
          <w:rFonts w:ascii="Trebuchet MS" w:hAnsi="Trebuchet MS"/>
          <w:color w:val="002060"/>
          <w:sz w:val="19"/>
          <w:szCs w:val="19"/>
        </w:rPr>
        <w:t xml:space="preserve">Con riferimento al </w:t>
      </w:r>
      <w:r w:rsidRPr="00696A2A">
        <w:rPr>
          <w:rFonts w:ascii="Trebuchet MS" w:hAnsi="Trebuchet MS"/>
          <w:b/>
          <w:color w:val="002060"/>
          <w:sz w:val="19"/>
          <w:szCs w:val="19"/>
        </w:rPr>
        <w:t>Target 11.5</w:t>
      </w:r>
      <w:r>
        <w:rPr>
          <w:rFonts w:ascii="Trebuchet MS" w:hAnsi="Trebuchet MS"/>
          <w:color w:val="002060"/>
          <w:sz w:val="19"/>
          <w:szCs w:val="19"/>
        </w:rPr>
        <w:t>, si rimanda a quanto affermato per il Target 1.5 sui rischi naturali.</w:t>
      </w:r>
      <w:r w:rsidR="00A809CE" w:rsidRPr="00EA25B4">
        <w:rPr>
          <w:rFonts w:ascii="Trebuchet MS" w:hAnsi="Trebuchet MS"/>
          <w:color w:val="002060"/>
          <w:sz w:val="19"/>
          <w:szCs w:val="19"/>
        </w:rPr>
        <w:t xml:space="preserve"> </w:t>
      </w:r>
      <w:r>
        <w:rPr>
          <w:rFonts w:ascii="Trebuchet MS" w:hAnsi="Trebuchet MS"/>
          <w:color w:val="002060"/>
          <w:sz w:val="19"/>
          <w:szCs w:val="19"/>
        </w:rPr>
        <w:t>Non essendo poi g</w:t>
      </w:r>
      <w:r w:rsidRPr="00637B42">
        <w:rPr>
          <w:rFonts w:ascii="Trebuchet MS" w:hAnsi="Trebuchet MS"/>
          <w:color w:val="002060"/>
          <w:sz w:val="19"/>
          <w:szCs w:val="19"/>
        </w:rPr>
        <w:t>li indicatori proposti confrontabili a livello internazionale</w:t>
      </w:r>
      <w:r>
        <w:rPr>
          <w:rFonts w:ascii="Trebuchet MS" w:hAnsi="Trebuchet MS"/>
          <w:color w:val="002060"/>
          <w:sz w:val="19"/>
          <w:szCs w:val="19"/>
        </w:rPr>
        <w:t xml:space="preserve">, sarebbe opportuno fare riferimento </w:t>
      </w:r>
      <w:r w:rsidRPr="00637B42">
        <w:rPr>
          <w:rFonts w:ascii="Trebuchet MS" w:hAnsi="Trebuchet MS"/>
          <w:color w:val="002060"/>
          <w:sz w:val="19"/>
          <w:szCs w:val="19"/>
        </w:rPr>
        <w:t>ai Paesi che hanno adottato strategie nazionali per la Disaster risk r</w:t>
      </w:r>
      <w:r>
        <w:rPr>
          <w:rFonts w:ascii="Trebuchet MS" w:hAnsi="Trebuchet MS"/>
          <w:color w:val="002060"/>
          <w:sz w:val="19"/>
          <w:szCs w:val="19"/>
        </w:rPr>
        <w:t xml:space="preserve">eduction </w:t>
      </w:r>
      <w:r w:rsidRPr="00637B42">
        <w:rPr>
          <w:rFonts w:ascii="Trebuchet MS" w:hAnsi="Trebuchet MS"/>
          <w:color w:val="002060"/>
          <w:sz w:val="19"/>
          <w:szCs w:val="19"/>
        </w:rPr>
        <w:t xml:space="preserve">sulla base del Hyogo framework 2005-2015 </w:t>
      </w:r>
      <w:r>
        <w:rPr>
          <w:rFonts w:ascii="Trebuchet MS" w:hAnsi="Trebuchet MS"/>
          <w:color w:val="002060"/>
          <w:sz w:val="19"/>
          <w:szCs w:val="19"/>
        </w:rPr>
        <w:t>(</w:t>
      </w:r>
      <w:r w:rsidRPr="00637B42">
        <w:rPr>
          <w:rFonts w:ascii="Trebuchet MS" w:hAnsi="Trebuchet MS"/>
          <w:color w:val="002060"/>
          <w:sz w:val="19"/>
          <w:szCs w:val="19"/>
        </w:rPr>
        <w:t xml:space="preserve">dati reperibili </w:t>
      </w:r>
      <w:r>
        <w:rPr>
          <w:rFonts w:ascii="Trebuchet MS" w:hAnsi="Trebuchet MS"/>
          <w:color w:val="002060"/>
          <w:sz w:val="19"/>
          <w:szCs w:val="19"/>
        </w:rPr>
        <w:t xml:space="preserve">sul sito </w:t>
      </w:r>
      <w:r w:rsidRPr="00637B42">
        <w:rPr>
          <w:rFonts w:ascii="Trebuchet MS" w:hAnsi="Trebuchet MS"/>
          <w:color w:val="002060"/>
          <w:sz w:val="19"/>
          <w:szCs w:val="19"/>
        </w:rPr>
        <w:t xml:space="preserve">prevention.web </w:t>
      </w:r>
      <w:r>
        <w:rPr>
          <w:rFonts w:ascii="Trebuchet MS" w:hAnsi="Trebuchet MS"/>
          <w:color w:val="002060"/>
          <w:sz w:val="19"/>
          <w:szCs w:val="19"/>
        </w:rPr>
        <w:t>dell’UNISDR</w:t>
      </w:r>
      <w:r w:rsidRPr="00637B42">
        <w:rPr>
          <w:rFonts w:ascii="Trebuchet MS" w:hAnsi="Trebuchet MS"/>
          <w:color w:val="002060"/>
          <w:sz w:val="19"/>
          <w:szCs w:val="19"/>
        </w:rPr>
        <w:t>). Lo stesso indicatore può essere utilizzato per verificare quanti Paesi, compreso l’I</w:t>
      </w:r>
      <w:r>
        <w:rPr>
          <w:rFonts w:ascii="Trebuchet MS" w:hAnsi="Trebuchet MS"/>
          <w:color w:val="002060"/>
          <w:sz w:val="19"/>
          <w:szCs w:val="19"/>
        </w:rPr>
        <w:t xml:space="preserve">talia, </w:t>
      </w:r>
      <w:r w:rsidRPr="00637B42">
        <w:rPr>
          <w:rFonts w:ascii="Trebuchet MS" w:hAnsi="Trebuchet MS"/>
          <w:color w:val="002060"/>
          <w:sz w:val="19"/>
          <w:szCs w:val="19"/>
        </w:rPr>
        <w:t>attueranno la medesima indicazione contenuta n</w:t>
      </w:r>
      <w:r>
        <w:rPr>
          <w:rFonts w:ascii="Trebuchet MS" w:hAnsi="Trebuchet MS"/>
          <w:color w:val="002060"/>
          <w:sz w:val="19"/>
          <w:szCs w:val="19"/>
        </w:rPr>
        <w:t xml:space="preserve">el Sendai framework 2015-2030. </w:t>
      </w:r>
      <w:r w:rsidRPr="00637B42">
        <w:rPr>
          <w:rFonts w:ascii="Trebuchet MS" w:hAnsi="Trebuchet MS"/>
          <w:color w:val="002060"/>
          <w:sz w:val="19"/>
          <w:szCs w:val="19"/>
        </w:rPr>
        <w:t>Si propone altresì considerare di inserire un indicatore relativo al numero di Comuni che hanno aderito alla Campagna U</w:t>
      </w:r>
      <w:r>
        <w:rPr>
          <w:rFonts w:ascii="Trebuchet MS" w:hAnsi="Trebuchet MS"/>
          <w:color w:val="002060"/>
          <w:sz w:val="19"/>
          <w:szCs w:val="19"/>
        </w:rPr>
        <w:t>NISDR "Making Cities Resilient".</w:t>
      </w:r>
    </w:p>
    <w:p w14:paraId="25B64373" w14:textId="77777777" w:rsidR="004D0127" w:rsidRPr="00EA25B4" w:rsidRDefault="00A809CE"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Quanto, </w:t>
      </w:r>
      <w:r w:rsidR="004D0127" w:rsidRPr="00EA25B4">
        <w:rPr>
          <w:rFonts w:ascii="Trebuchet MS" w:hAnsi="Trebuchet MS"/>
          <w:color w:val="002060"/>
          <w:sz w:val="19"/>
          <w:szCs w:val="19"/>
        </w:rPr>
        <w:t>poi</w:t>
      </w:r>
      <w:r w:rsidRPr="00EA25B4">
        <w:rPr>
          <w:rFonts w:ascii="Trebuchet MS" w:hAnsi="Trebuchet MS"/>
          <w:color w:val="002060"/>
          <w:sz w:val="19"/>
          <w:szCs w:val="19"/>
        </w:rPr>
        <w:t xml:space="preserve">, al </w:t>
      </w:r>
      <w:r w:rsidRPr="00EA25B4">
        <w:rPr>
          <w:rFonts w:ascii="Trebuchet MS" w:hAnsi="Trebuchet MS"/>
          <w:b/>
          <w:color w:val="002060"/>
          <w:sz w:val="19"/>
          <w:szCs w:val="19"/>
        </w:rPr>
        <w:t>Target</w:t>
      </w:r>
      <w:r w:rsidRPr="00EA25B4">
        <w:rPr>
          <w:rFonts w:ascii="Trebuchet MS" w:hAnsi="Trebuchet MS"/>
          <w:color w:val="002060"/>
          <w:sz w:val="19"/>
          <w:szCs w:val="19"/>
        </w:rPr>
        <w:t xml:space="preserve"> </w:t>
      </w:r>
      <w:r w:rsidRPr="00EA25B4">
        <w:rPr>
          <w:rFonts w:ascii="Trebuchet MS" w:hAnsi="Trebuchet MS"/>
          <w:b/>
          <w:color w:val="002060"/>
          <w:sz w:val="19"/>
          <w:szCs w:val="19"/>
        </w:rPr>
        <w:t>11.7</w:t>
      </w:r>
      <w:r w:rsidR="004D0127" w:rsidRPr="00EA25B4">
        <w:rPr>
          <w:rFonts w:ascii="Trebuchet MS" w:hAnsi="Trebuchet MS"/>
          <w:b/>
          <w:color w:val="002060"/>
          <w:sz w:val="19"/>
          <w:szCs w:val="19"/>
        </w:rPr>
        <w:t xml:space="preserve"> </w:t>
      </w:r>
      <w:r w:rsidR="004D0127" w:rsidRPr="00EA25B4">
        <w:rPr>
          <w:rFonts w:ascii="Trebuchet MS" w:hAnsi="Trebuchet MS"/>
          <w:color w:val="002060"/>
          <w:sz w:val="19"/>
          <w:szCs w:val="19"/>
        </w:rPr>
        <w:t xml:space="preserve">l’accessibilità agli spazi verdi per la popolazione urbana non può essere adeguatamente rappresentata dal solo dato quantitativo di verde disponibile </w:t>
      </w:r>
      <w:r w:rsidR="004D0127" w:rsidRPr="00EA25B4">
        <w:rPr>
          <w:rFonts w:ascii="Trebuchet MS" w:hAnsi="Trebuchet MS"/>
          <w:i/>
          <w:color w:val="002060"/>
          <w:sz w:val="19"/>
          <w:szCs w:val="19"/>
        </w:rPr>
        <w:t>pro-capite</w:t>
      </w:r>
      <w:r w:rsidR="004D0127" w:rsidRPr="00EA25B4">
        <w:rPr>
          <w:rFonts w:ascii="Trebuchet MS" w:hAnsi="Trebuchet MS"/>
          <w:color w:val="002060"/>
          <w:sz w:val="19"/>
          <w:szCs w:val="19"/>
        </w:rPr>
        <w:t xml:space="preserve">, come invece suggerito dal Rapporto </w:t>
      </w:r>
      <w:r w:rsidR="004A582E" w:rsidRPr="00EA25B4">
        <w:rPr>
          <w:rFonts w:ascii="Trebuchet MS" w:hAnsi="Trebuchet MS"/>
          <w:color w:val="002060"/>
          <w:sz w:val="19"/>
          <w:szCs w:val="19"/>
        </w:rPr>
        <w:t>Mattm</w:t>
      </w:r>
      <w:r w:rsidR="004D0127" w:rsidRPr="00EA25B4">
        <w:rPr>
          <w:rFonts w:ascii="Trebuchet MS" w:hAnsi="Trebuchet MS"/>
          <w:color w:val="002060"/>
          <w:sz w:val="19"/>
          <w:szCs w:val="19"/>
        </w:rPr>
        <w:t xml:space="preserve">. Correttamente, comunque, viene riconosciuta la collocazione di incertezza dell’Italia rispetto al Target. Un indice di prossimità del verde fruibile è presentato nel Rapporto della Commissione Europea e UN Habitat – </w:t>
      </w:r>
      <w:r w:rsidR="004D0127" w:rsidRPr="00EA25B4">
        <w:rPr>
          <w:rFonts w:ascii="Trebuchet MS" w:hAnsi="Trebuchet MS"/>
          <w:i/>
          <w:color w:val="002060"/>
          <w:sz w:val="19"/>
          <w:szCs w:val="19"/>
        </w:rPr>
        <w:t>State of European Cities 2016</w:t>
      </w:r>
      <w:r w:rsidR="004D0127" w:rsidRPr="00EA25B4">
        <w:rPr>
          <w:rFonts w:ascii="Trebuchet MS" w:hAnsi="Trebuchet MS"/>
          <w:color w:val="002060"/>
          <w:sz w:val="19"/>
          <w:szCs w:val="19"/>
        </w:rPr>
        <w:t xml:space="preserve">, ove si considera in </w:t>
      </w:r>
      <w:r w:rsidR="004D0127" w:rsidRPr="00EA25B4">
        <w:rPr>
          <w:rFonts w:ascii="Trebuchet MS" w:hAnsi="Trebuchet MS"/>
          <w:i/>
          <w:color w:val="002060"/>
          <w:sz w:val="19"/>
          <w:szCs w:val="19"/>
        </w:rPr>
        <w:t>10 minuti a piedi</w:t>
      </w:r>
      <w:r w:rsidR="004D0127" w:rsidRPr="00EA25B4">
        <w:rPr>
          <w:rFonts w:ascii="Trebuchet MS" w:hAnsi="Trebuchet MS"/>
          <w:color w:val="002060"/>
          <w:sz w:val="19"/>
          <w:szCs w:val="19"/>
        </w:rPr>
        <w:t xml:space="preserve"> un valore adeguato per l’effettiva fruibilità degli spazi verdi urbani per i residenti.</w:t>
      </w:r>
    </w:p>
    <w:p w14:paraId="5C4665B9" w14:textId="77777777" w:rsidR="001D016D" w:rsidRPr="00EA25B4" w:rsidRDefault="002104F5" w:rsidP="005A6934">
      <w:pPr>
        <w:spacing w:after="120"/>
        <w:jc w:val="both"/>
        <w:rPr>
          <w:rFonts w:ascii="Trebuchet MS" w:hAnsi="Trebuchet MS"/>
          <w:color w:val="002060"/>
          <w:sz w:val="19"/>
          <w:szCs w:val="19"/>
        </w:rPr>
      </w:pPr>
      <w:r>
        <w:rPr>
          <w:rFonts w:ascii="Trebuchet MS" w:hAnsi="Trebuchet MS"/>
          <w:color w:val="002060"/>
          <w:sz w:val="19"/>
          <w:szCs w:val="19"/>
        </w:rPr>
        <w:t>Per i</w:t>
      </w:r>
      <w:r w:rsidR="001D016D" w:rsidRPr="00EA25B4">
        <w:rPr>
          <w:rFonts w:ascii="Trebuchet MS" w:hAnsi="Trebuchet MS"/>
          <w:color w:val="002060"/>
          <w:sz w:val="19"/>
          <w:szCs w:val="19"/>
        </w:rPr>
        <w:t xml:space="preserve">l </w:t>
      </w:r>
      <w:r w:rsidR="001D016D" w:rsidRPr="00EA25B4">
        <w:rPr>
          <w:rFonts w:ascii="Trebuchet MS" w:hAnsi="Trebuchet MS"/>
          <w:b/>
          <w:color w:val="002060"/>
          <w:sz w:val="19"/>
          <w:szCs w:val="19"/>
        </w:rPr>
        <w:t>Target 11.a</w:t>
      </w:r>
      <w:r w:rsidR="001D016D" w:rsidRPr="00EA25B4">
        <w:rPr>
          <w:rFonts w:ascii="Trebuchet MS" w:hAnsi="Trebuchet MS"/>
          <w:color w:val="002060"/>
          <w:sz w:val="19"/>
          <w:szCs w:val="19"/>
        </w:rPr>
        <w:t xml:space="preserve"> si prende atto dell’interpretazione diametralmente opposta rispetto a quanto sostenuto dall’ASviS in sede di consultazioni: il </w:t>
      </w:r>
      <w:r w:rsidR="004A582E" w:rsidRPr="00EA25B4">
        <w:rPr>
          <w:rFonts w:ascii="Trebuchet MS" w:hAnsi="Trebuchet MS"/>
          <w:color w:val="002060"/>
          <w:sz w:val="19"/>
          <w:szCs w:val="19"/>
        </w:rPr>
        <w:t>Mattm</w:t>
      </w:r>
      <w:r w:rsidR="001D016D" w:rsidRPr="00EA25B4">
        <w:rPr>
          <w:rFonts w:ascii="Trebuchet MS" w:hAnsi="Trebuchet MS"/>
          <w:color w:val="002060"/>
          <w:sz w:val="19"/>
          <w:szCs w:val="19"/>
        </w:rPr>
        <w:t xml:space="preserve"> riporta la sintesi della consultazione senza però integrarla nelle conclusioni, anzi, considerando il Target di prevalente interesse per i paesi in via di sviluppo. </w:t>
      </w:r>
    </w:p>
    <w:p w14:paraId="13B946F9" w14:textId="77777777" w:rsidR="001D016D" w:rsidRPr="00EA25B4" w:rsidRDefault="001D016D" w:rsidP="005A6934">
      <w:pPr>
        <w:spacing w:after="120"/>
        <w:jc w:val="both"/>
        <w:rPr>
          <w:rFonts w:ascii="Trebuchet MS" w:hAnsi="Trebuchet MS"/>
          <w:color w:val="002060"/>
          <w:sz w:val="19"/>
          <w:szCs w:val="19"/>
        </w:rPr>
      </w:pPr>
      <w:r w:rsidRPr="00EA25B4">
        <w:rPr>
          <w:rFonts w:ascii="Trebuchet MS" w:hAnsi="Trebuchet MS"/>
          <w:color w:val="002060"/>
          <w:sz w:val="19"/>
          <w:szCs w:val="19"/>
        </w:rPr>
        <w:lastRenderedPageBreak/>
        <w:t xml:space="preserve">Quanto al </w:t>
      </w:r>
      <w:r w:rsidRPr="00EA25B4">
        <w:rPr>
          <w:rFonts w:ascii="Trebuchet MS" w:hAnsi="Trebuchet MS"/>
          <w:b/>
          <w:color w:val="002060"/>
          <w:sz w:val="19"/>
          <w:szCs w:val="19"/>
        </w:rPr>
        <w:t>Target 11.c</w:t>
      </w:r>
      <w:r w:rsidRPr="00EA25B4">
        <w:rPr>
          <w:rFonts w:ascii="Trebuchet MS" w:hAnsi="Trebuchet MS"/>
          <w:color w:val="002060"/>
          <w:sz w:val="19"/>
          <w:szCs w:val="19"/>
        </w:rPr>
        <w:t>, infine, si ritiene il dato riportato sugli ODA per l’edilizia sostenibile nei paesi in via di sviluppo non pienamente valido per la misurazione del Target. Nulla, infatti, può dare dimostrazione della effettiva destinazione delle spese all’edilizia sostenibile, ma queste sono invece semplicemente riconducibili a voci che solo in linea teoria potrebbero comprenderla.</w:t>
      </w:r>
    </w:p>
    <w:p w14:paraId="45E46CFD" w14:textId="77777777" w:rsidR="001D016D" w:rsidRDefault="001D016D" w:rsidP="005A6934">
      <w:pPr>
        <w:spacing w:after="120"/>
        <w:jc w:val="both"/>
        <w:rPr>
          <w:rFonts w:ascii="Trebuchet MS" w:hAnsi="Trebuchet MS"/>
          <w:color w:val="002060"/>
          <w:sz w:val="19"/>
          <w:szCs w:val="19"/>
        </w:rPr>
      </w:pPr>
    </w:p>
    <w:p w14:paraId="6735F808" w14:textId="77777777" w:rsidR="008D1050" w:rsidRPr="00EA25B4" w:rsidRDefault="008D1050" w:rsidP="005A6934">
      <w:pPr>
        <w:spacing w:after="120"/>
        <w:jc w:val="both"/>
        <w:rPr>
          <w:rFonts w:ascii="Trebuchet MS" w:hAnsi="Trebuchet MS"/>
          <w:color w:val="002060"/>
          <w:sz w:val="19"/>
          <w:szCs w:val="19"/>
        </w:rPr>
      </w:pPr>
      <w:r w:rsidRPr="00EA25B4">
        <w:rPr>
          <w:rFonts w:ascii="Trebuchet MS" w:hAnsi="Trebuchet MS"/>
          <w:color w:val="002060"/>
          <w:sz w:val="19"/>
          <w:szCs w:val="19"/>
          <w:u w:val="single"/>
        </w:rPr>
        <w:t>Obiettivo 12 – Consumo e produzione responsabili</w:t>
      </w:r>
    </w:p>
    <w:p w14:paraId="1C7927BF" w14:textId="77777777" w:rsidR="002104F5" w:rsidRPr="00EA25B4"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Le schede elaborate dal Ministero per il </w:t>
      </w:r>
      <w:r w:rsidR="00AF5386" w:rsidRPr="00EA25B4">
        <w:rPr>
          <w:rFonts w:ascii="Trebuchet MS" w:hAnsi="Trebuchet MS"/>
          <w:color w:val="002060"/>
          <w:sz w:val="19"/>
          <w:szCs w:val="19"/>
        </w:rPr>
        <w:t>Goal</w:t>
      </w:r>
      <w:r w:rsidRPr="00EA25B4">
        <w:rPr>
          <w:rFonts w:ascii="Trebuchet MS" w:hAnsi="Trebuchet MS"/>
          <w:color w:val="002060"/>
          <w:sz w:val="19"/>
          <w:szCs w:val="19"/>
        </w:rPr>
        <w:t xml:space="preserve"> 12 sono complete ed analizzano tutti i Target e gli indicatori. Con il presento commento ci si propone di rilevare i punti di maggiore criticità riferiti alle conclusioni del Rapporto sul </w:t>
      </w:r>
      <w:r w:rsidR="00AF5386" w:rsidRPr="00EA25B4">
        <w:rPr>
          <w:rFonts w:ascii="Trebuchet MS" w:hAnsi="Trebuchet MS"/>
          <w:color w:val="002060"/>
          <w:sz w:val="19"/>
          <w:szCs w:val="19"/>
        </w:rPr>
        <w:t>Goal</w:t>
      </w:r>
      <w:r w:rsidRPr="00EA25B4">
        <w:rPr>
          <w:rFonts w:ascii="Trebuchet MS" w:hAnsi="Trebuchet MS"/>
          <w:color w:val="002060"/>
          <w:sz w:val="19"/>
          <w:szCs w:val="19"/>
        </w:rPr>
        <w:t xml:space="preserve"> 12. Verranno quindi trattati i soli Target su cui il gruppo di lavoro dell’Alleanza ha ritenuto di presentare osservazioni.</w:t>
      </w:r>
      <w:r w:rsidR="002104F5">
        <w:rPr>
          <w:rFonts w:ascii="Trebuchet MS" w:hAnsi="Trebuchet MS"/>
          <w:color w:val="002060"/>
          <w:sz w:val="19"/>
          <w:szCs w:val="19"/>
        </w:rPr>
        <w:t xml:space="preserve"> </w:t>
      </w:r>
    </w:p>
    <w:p w14:paraId="6EF67FE2" w14:textId="77777777" w:rsidR="00EE45B6" w:rsidRPr="00EA25B4"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In primo luogo, quanto al </w:t>
      </w:r>
      <w:r w:rsidRPr="00EA25B4">
        <w:rPr>
          <w:rFonts w:ascii="Trebuchet MS" w:hAnsi="Trebuchet MS"/>
          <w:b/>
          <w:color w:val="002060"/>
          <w:sz w:val="19"/>
          <w:szCs w:val="19"/>
        </w:rPr>
        <w:t>Target 12.1</w:t>
      </w:r>
      <w:r w:rsidRPr="00EA25B4">
        <w:rPr>
          <w:rFonts w:ascii="Trebuchet MS" w:hAnsi="Trebuchet MS"/>
          <w:color w:val="002060"/>
          <w:sz w:val="19"/>
          <w:szCs w:val="19"/>
        </w:rPr>
        <w:t xml:space="preserve">, </w:t>
      </w:r>
      <w:r w:rsidRPr="00EA25B4">
        <w:rPr>
          <w:rFonts w:ascii="Trebuchet MS" w:hAnsi="Trebuchet MS"/>
          <w:bCs/>
          <w:color w:val="002060"/>
          <w:sz w:val="19"/>
          <w:szCs w:val="19"/>
        </w:rPr>
        <w:t xml:space="preserve">correttamente il Rapporto ministeriale evidenzia la mancanza di coerenza l’indicatore IAEG selezionato dalla Commissione Statistica delle Nazioni Unite, del quale viene proposta una integrazione con </w:t>
      </w:r>
      <w:r w:rsidRPr="00EA25B4">
        <w:rPr>
          <w:rFonts w:ascii="Trebuchet MS" w:hAnsi="Trebuchet MS"/>
          <w:color w:val="002060"/>
          <w:sz w:val="19"/>
          <w:szCs w:val="19"/>
        </w:rPr>
        <w:t>la spesa pro-capite per la tutela dell'ambiente. Tale indicatore, tuttavia, non ci sembra del tutto coerente con l’Obiettivo. Non può essere ritenuta soddisfacente, ai fini del raggiungimento del Target, come invece il Rapporto suggerisce, la sola previsione, contenuta nella l. 221/2015, della predisposizione di un Piano di azione nazionale per i modelli di produzione e consumo sostenibili. Si suggerisce, inoltre, di porre ulteriori obiettivi che guardino alla sostenibilità sociale, come per esempio la sostenibilità dell’intera filiera produttiva, la partecipazione dei lavoratori e il dialogo con la collettività locale.</w:t>
      </w:r>
    </w:p>
    <w:p w14:paraId="0194F578" w14:textId="77777777" w:rsidR="00EE45B6" w:rsidRPr="00EA25B4"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Quanto al </w:t>
      </w:r>
      <w:r w:rsidRPr="00EA25B4">
        <w:rPr>
          <w:rFonts w:ascii="Trebuchet MS" w:hAnsi="Trebuchet MS"/>
          <w:b/>
          <w:color w:val="002060"/>
          <w:sz w:val="19"/>
          <w:szCs w:val="19"/>
        </w:rPr>
        <w:t>Target 12.2</w:t>
      </w:r>
      <w:r w:rsidRPr="00EA25B4">
        <w:rPr>
          <w:rFonts w:ascii="Trebuchet MS" w:hAnsi="Trebuchet MS"/>
          <w:color w:val="002060"/>
          <w:sz w:val="19"/>
          <w:szCs w:val="19"/>
        </w:rPr>
        <w:t>, gli indicatori selezionati sono coerenti con il Target, sebbene alcuni non siano disponibili per il nostro Paese. Il Rapporto correttamente evidenzia il basso livello di DMC (Consumo di materiali) nel nostro Paese, ma, nell’ottica di modelli di economia circolare, è necessario che tale parametro sia ulteriormente ridotto.</w:t>
      </w:r>
    </w:p>
    <w:p w14:paraId="4A99B384" w14:textId="77777777" w:rsidR="00EE45B6" w:rsidRPr="00EA25B4"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Per quanto concerne il </w:t>
      </w:r>
      <w:r w:rsidRPr="00EA25B4">
        <w:rPr>
          <w:rFonts w:ascii="Trebuchet MS" w:hAnsi="Trebuchet MS"/>
          <w:b/>
          <w:color w:val="002060"/>
          <w:sz w:val="19"/>
          <w:szCs w:val="19"/>
        </w:rPr>
        <w:t>Target 12.3</w:t>
      </w:r>
      <w:r w:rsidRPr="00EA25B4">
        <w:rPr>
          <w:rFonts w:ascii="Trebuchet MS" w:hAnsi="Trebuchet MS"/>
          <w:color w:val="002060"/>
          <w:sz w:val="19"/>
          <w:szCs w:val="19"/>
        </w:rPr>
        <w:t>, il gruppo di lavoro rileva come nell’analisi dei risultati manchi il riferimento alla recente promulgazione della legge 19 agosto 2016, n. 166 “</w:t>
      </w:r>
      <w:r w:rsidRPr="00EA25B4">
        <w:rPr>
          <w:rFonts w:ascii="Trebuchet MS" w:hAnsi="Trebuchet MS"/>
          <w:i/>
          <w:color w:val="002060"/>
          <w:sz w:val="19"/>
          <w:szCs w:val="19"/>
        </w:rPr>
        <w:t>Disposizioni concernenti la donazione e la distribuzione di prodotti alimentari e farmaceutici a fini di solidarietà sociale e per la limitazione degli sprechi</w:t>
      </w:r>
      <w:r w:rsidRPr="00EA25B4">
        <w:rPr>
          <w:rFonts w:ascii="Trebuchet MS" w:hAnsi="Trebuchet MS"/>
          <w:color w:val="002060"/>
          <w:sz w:val="19"/>
          <w:szCs w:val="19"/>
        </w:rPr>
        <w:t>”.</w:t>
      </w:r>
    </w:p>
    <w:p w14:paraId="0588AE44" w14:textId="77777777" w:rsidR="00EE45B6" w:rsidRPr="00EA25B4"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Quanto al </w:t>
      </w:r>
      <w:r w:rsidRPr="00EA25B4">
        <w:rPr>
          <w:rFonts w:ascii="Trebuchet MS" w:hAnsi="Trebuchet MS"/>
          <w:b/>
          <w:color w:val="002060"/>
          <w:sz w:val="19"/>
          <w:szCs w:val="19"/>
        </w:rPr>
        <w:t>Target 12.5</w:t>
      </w:r>
      <w:r w:rsidRPr="00EA25B4">
        <w:rPr>
          <w:rFonts w:ascii="Trebuchet MS" w:hAnsi="Trebuchet MS"/>
          <w:color w:val="002060"/>
          <w:sz w:val="19"/>
          <w:szCs w:val="19"/>
        </w:rPr>
        <w:t>, invece, non si rilevano riferimenti al pacchetto economia circolare UE e alle norme previste per i rifiuti.</w:t>
      </w:r>
    </w:p>
    <w:p w14:paraId="67922770" w14:textId="77777777" w:rsidR="00EE45B6" w:rsidRPr="00EA25B4"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Anche per il </w:t>
      </w:r>
      <w:r w:rsidRPr="00EA25B4">
        <w:rPr>
          <w:rFonts w:ascii="Trebuchet MS" w:hAnsi="Trebuchet MS"/>
          <w:b/>
          <w:color w:val="002060"/>
          <w:sz w:val="19"/>
          <w:szCs w:val="19"/>
        </w:rPr>
        <w:t>Target 12.6</w:t>
      </w:r>
      <w:r w:rsidRPr="00EA25B4">
        <w:rPr>
          <w:rFonts w:ascii="Trebuchet MS" w:hAnsi="Trebuchet MS"/>
          <w:color w:val="002060"/>
          <w:sz w:val="19"/>
          <w:szCs w:val="19"/>
        </w:rPr>
        <w:t xml:space="preserve"> occorre enfatizzare l’impegno delle aziende per migliorare il loro impatto sociale, accanto a quello ambientale. Occorre dunque premiare il comportamento volontario delle imprese che scelgono di differenziarsi dai competitori per il loro positivo impatto sociale ed ambientale, puntando a: 1) dimostrare alle imprese che divenire più sostenibili è conveniente anche per il proprio </w:t>
      </w:r>
      <w:r w:rsidRPr="00EA25B4">
        <w:rPr>
          <w:rFonts w:ascii="Trebuchet MS" w:hAnsi="Trebuchet MS"/>
          <w:i/>
          <w:color w:val="002060"/>
          <w:sz w:val="19"/>
          <w:szCs w:val="19"/>
        </w:rPr>
        <w:t>business</w:t>
      </w:r>
      <w:r w:rsidRPr="00EA25B4">
        <w:rPr>
          <w:rFonts w:ascii="Trebuchet MS" w:hAnsi="Trebuchet MS"/>
          <w:color w:val="002060"/>
          <w:sz w:val="19"/>
          <w:szCs w:val="19"/>
        </w:rPr>
        <w:t>; 2) informare e motivare i cittadini affinché con comportamenti d’acquisto che premiano le imprese responsabili rendano sempre più conveniente la sostenibilità delle imprese; 3) rilevare e diffondere le buone prassi di dialogo sociale, partecipazione dei lavoratori, dialogo con il territorio, controllo della qualità sociale ed ambientale lungo tutta la catena di fornitura.</w:t>
      </w:r>
    </w:p>
    <w:p w14:paraId="6CFFF17D" w14:textId="77777777" w:rsidR="00EE45B6" w:rsidRPr="00EA25B4" w:rsidRDefault="00EE45B6" w:rsidP="005A6934">
      <w:pPr>
        <w:spacing w:after="120"/>
        <w:jc w:val="both"/>
        <w:rPr>
          <w:rFonts w:ascii="Trebuchet MS" w:hAnsi="Trebuchet MS"/>
          <w:color w:val="002060"/>
          <w:sz w:val="19"/>
          <w:szCs w:val="19"/>
        </w:rPr>
      </w:pPr>
      <w:r w:rsidRPr="00EA25B4">
        <w:rPr>
          <w:rFonts w:ascii="Trebuchet MS" w:hAnsi="Trebuchet MS"/>
          <w:bCs/>
          <w:iCs/>
          <w:color w:val="002060"/>
          <w:sz w:val="19"/>
          <w:szCs w:val="19"/>
        </w:rPr>
        <w:t xml:space="preserve">Riguardo al </w:t>
      </w:r>
      <w:r w:rsidRPr="00EA25B4">
        <w:rPr>
          <w:rFonts w:ascii="Trebuchet MS" w:hAnsi="Trebuchet MS"/>
          <w:b/>
          <w:bCs/>
          <w:iCs/>
          <w:color w:val="002060"/>
          <w:sz w:val="19"/>
          <w:szCs w:val="19"/>
        </w:rPr>
        <w:t>Target 12.7</w:t>
      </w:r>
      <w:r w:rsidRPr="00EA25B4">
        <w:rPr>
          <w:rFonts w:ascii="Trebuchet MS" w:hAnsi="Trebuchet MS"/>
          <w:bCs/>
          <w:iCs/>
          <w:color w:val="002060"/>
          <w:sz w:val="19"/>
          <w:szCs w:val="19"/>
        </w:rPr>
        <w:t>, s</w:t>
      </w:r>
      <w:r w:rsidRPr="00EA25B4">
        <w:rPr>
          <w:rFonts w:ascii="Trebuchet MS" w:hAnsi="Trebuchet MS"/>
          <w:color w:val="002060"/>
          <w:sz w:val="19"/>
          <w:szCs w:val="19"/>
        </w:rPr>
        <w:t>e certamente l’Italia ha intrapreso un cammino virtuoso nel GPP, occorre alzare progressivamente la percentuale di acquisti sostenibili delle pubbliche amministrazioni, fino a conseguire in tempi brevi, prima del 2030, il 100% degli acquisti sostenibili. Inoltre, occorre definire con maggiore precisione le componenti della sostenibilità sociale da valutare e le relative modalità di controllo.</w:t>
      </w:r>
    </w:p>
    <w:p w14:paraId="31E047A4" w14:textId="77777777" w:rsidR="00EE45B6" w:rsidRPr="00EA25B4"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Quanto al </w:t>
      </w:r>
      <w:r w:rsidRPr="00EA25B4">
        <w:rPr>
          <w:rFonts w:ascii="Trebuchet MS" w:hAnsi="Trebuchet MS"/>
          <w:b/>
          <w:color w:val="002060"/>
          <w:sz w:val="19"/>
          <w:szCs w:val="19"/>
        </w:rPr>
        <w:t>Target 12.8</w:t>
      </w:r>
      <w:r w:rsidRPr="00EA25B4">
        <w:rPr>
          <w:rFonts w:ascii="Trebuchet MS" w:hAnsi="Trebuchet MS"/>
          <w:color w:val="002060"/>
          <w:sz w:val="19"/>
          <w:szCs w:val="19"/>
        </w:rPr>
        <w:t>, questo, secondo le analisi del Ministero dell’ambiente, appare declinato soprattutto sul versante della sostenibilità ambientale. Occorre invece considerare adeguatamente anche la dimensione sociale, in una logica di ecologia integrale. Si propone pertanto, oltre all’inserimento dell’indicatore addizionale 12.8.2, interessante e condivisibile, anche un indicatore che misuri l’impegno sociale del terzo settore per informare e sensibilizzare i cittadini al consumo responsabile dal punto di vista sociale ed ambientale.</w:t>
      </w:r>
    </w:p>
    <w:p w14:paraId="0429228B" w14:textId="77777777" w:rsidR="00EE45B6" w:rsidRPr="00EA25B4"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Un indicatore importante per il </w:t>
      </w:r>
      <w:r w:rsidRPr="00EA25B4">
        <w:rPr>
          <w:rFonts w:ascii="Trebuchet MS" w:hAnsi="Trebuchet MS"/>
          <w:b/>
          <w:color w:val="002060"/>
          <w:sz w:val="19"/>
          <w:szCs w:val="19"/>
        </w:rPr>
        <w:t>Target 12.a</w:t>
      </w:r>
      <w:r w:rsidRPr="00EA25B4">
        <w:rPr>
          <w:rFonts w:ascii="Trebuchet MS" w:hAnsi="Trebuchet MS"/>
          <w:color w:val="002060"/>
          <w:sz w:val="19"/>
          <w:szCs w:val="19"/>
        </w:rPr>
        <w:t xml:space="preserve"> è anche la crescente sensibilità dei cittadini italiani verso l’impatto sociale ed ambientale nei Paesi Terzi, ossia verso la sostenibilità della catena di fornitura dei prodotti acquistati in Italia. La rapida crescita degli acquisti tanto dei prodotti </w:t>
      </w:r>
      <w:r w:rsidRPr="00EA25B4">
        <w:rPr>
          <w:rFonts w:ascii="Trebuchet MS" w:hAnsi="Trebuchet MS"/>
          <w:i/>
          <w:color w:val="002060"/>
          <w:sz w:val="19"/>
          <w:szCs w:val="19"/>
        </w:rPr>
        <w:t xml:space="preserve">fairtrade </w:t>
      </w:r>
      <w:r w:rsidRPr="00EA25B4">
        <w:rPr>
          <w:rFonts w:ascii="Trebuchet MS" w:hAnsi="Trebuchet MS"/>
          <w:color w:val="002060"/>
          <w:sz w:val="19"/>
          <w:szCs w:val="19"/>
        </w:rPr>
        <w:t xml:space="preserve">quanto delle botteghe equo e </w:t>
      </w:r>
      <w:r w:rsidRPr="00EA25B4">
        <w:rPr>
          <w:rFonts w:ascii="Trebuchet MS" w:hAnsi="Trebuchet MS"/>
          <w:color w:val="002060"/>
          <w:sz w:val="19"/>
          <w:szCs w:val="19"/>
        </w:rPr>
        <w:lastRenderedPageBreak/>
        <w:t xml:space="preserve">solidali (i dati sono ben disponibili con serie storiche), indica come stia crescendo il consumo responsabile e l’impegno quotidiano degli italiani al sostegno dei Paesi Terzi. </w:t>
      </w:r>
    </w:p>
    <w:p w14:paraId="391ED84F" w14:textId="77777777" w:rsidR="00895CE3"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Per quanto riguarda la matrice di base (tavola sinottica), è apprezzabile il lavoro di sintesi fatto e il codice con i colori che permette una valutazione a colpo d’occhio della posizione italiana rispetto al </w:t>
      </w:r>
      <w:r w:rsidR="00AF5386" w:rsidRPr="00EA25B4">
        <w:rPr>
          <w:rFonts w:ascii="Trebuchet MS" w:hAnsi="Trebuchet MS"/>
          <w:color w:val="002060"/>
          <w:sz w:val="19"/>
          <w:szCs w:val="19"/>
        </w:rPr>
        <w:t>Goal</w:t>
      </w:r>
      <w:r w:rsidRPr="00EA25B4">
        <w:rPr>
          <w:rFonts w:ascii="Trebuchet MS" w:hAnsi="Trebuchet MS"/>
          <w:color w:val="002060"/>
          <w:sz w:val="19"/>
          <w:szCs w:val="19"/>
        </w:rPr>
        <w:t xml:space="preserve">. Anche le considerazioni esposte alla fine della tavola sono interessanti e utili a evidenziare le maggiori criticità. Tuttavia si rileva che, dato che per molti indicatori non vi sono dati disponibili o non vi sono rilevazioni dell’Istat, sembra che il trend indicato (miglioramento o peggioramento) sia una considerazione qualitativa sull’esistenza di </w:t>
      </w:r>
      <w:r w:rsidRPr="00EA25B4">
        <w:rPr>
          <w:rFonts w:ascii="Trebuchet MS" w:hAnsi="Trebuchet MS"/>
          <w:i/>
          <w:color w:val="002060"/>
          <w:sz w:val="19"/>
          <w:szCs w:val="19"/>
        </w:rPr>
        <w:t>policies</w:t>
      </w:r>
      <w:r w:rsidRPr="00EA25B4">
        <w:rPr>
          <w:rFonts w:ascii="Trebuchet MS" w:hAnsi="Trebuchet MS"/>
          <w:color w:val="002060"/>
          <w:sz w:val="19"/>
          <w:szCs w:val="19"/>
        </w:rPr>
        <w:t xml:space="preserve"> adeguate piuttosto che un trend supportato da dati reali.</w:t>
      </w:r>
    </w:p>
    <w:p w14:paraId="6F5D0FCF" w14:textId="77777777" w:rsidR="00895CE3" w:rsidRPr="00EA25B4" w:rsidRDefault="00895CE3" w:rsidP="005A6934">
      <w:pPr>
        <w:spacing w:after="120"/>
        <w:jc w:val="both"/>
        <w:rPr>
          <w:rFonts w:ascii="Trebuchet MS" w:hAnsi="Trebuchet MS"/>
          <w:color w:val="002060"/>
          <w:sz w:val="19"/>
          <w:szCs w:val="19"/>
        </w:rPr>
      </w:pPr>
    </w:p>
    <w:p w14:paraId="6034727B" w14:textId="77777777" w:rsidR="008D1050" w:rsidRPr="00EA25B4" w:rsidRDefault="008D1050" w:rsidP="005A6934">
      <w:pPr>
        <w:spacing w:after="120"/>
        <w:jc w:val="both"/>
        <w:rPr>
          <w:rFonts w:ascii="Trebuchet MS" w:hAnsi="Trebuchet MS"/>
          <w:color w:val="002060"/>
          <w:sz w:val="19"/>
          <w:szCs w:val="19"/>
        </w:rPr>
      </w:pPr>
      <w:r w:rsidRPr="00EA25B4">
        <w:rPr>
          <w:rFonts w:ascii="Trebuchet MS" w:hAnsi="Trebuchet MS"/>
          <w:color w:val="002060"/>
          <w:sz w:val="19"/>
          <w:szCs w:val="19"/>
          <w:u w:val="single"/>
        </w:rPr>
        <w:t>Obiettivo 13 – Lotta al cambiamento climatico</w:t>
      </w:r>
    </w:p>
    <w:p w14:paraId="5718C34E" w14:textId="77777777" w:rsidR="00EE45B6" w:rsidRDefault="00127E61" w:rsidP="005A6934">
      <w:pPr>
        <w:spacing w:after="120"/>
        <w:jc w:val="both"/>
        <w:rPr>
          <w:rFonts w:ascii="Trebuchet MS" w:hAnsi="Trebuchet MS"/>
          <w:color w:val="002060"/>
          <w:sz w:val="19"/>
          <w:szCs w:val="19"/>
        </w:rPr>
      </w:pPr>
      <w:r w:rsidRPr="00127E61">
        <w:rPr>
          <w:rFonts w:ascii="Trebuchet MS" w:hAnsi="Trebuchet MS"/>
          <w:color w:val="002060"/>
          <w:sz w:val="19"/>
          <w:szCs w:val="19"/>
        </w:rPr>
        <w:t xml:space="preserve">Il quadro del </w:t>
      </w:r>
      <w:r>
        <w:rPr>
          <w:rFonts w:ascii="Trebuchet MS" w:hAnsi="Trebuchet MS"/>
          <w:color w:val="002060"/>
          <w:sz w:val="19"/>
          <w:szCs w:val="19"/>
        </w:rPr>
        <w:t xml:space="preserve">Goal 13 </w:t>
      </w:r>
      <w:r w:rsidRPr="00127E61">
        <w:rPr>
          <w:rFonts w:ascii="Trebuchet MS" w:hAnsi="Trebuchet MS"/>
          <w:color w:val="002060"/>
          <w:sz w:val="19"/>
          <w:szCs w:val="19"/>
        </w:rPr>
        <w:t>è debolissimo ed sovrastato dal quadro strategico-programmatico della COP 21 di Parigi incentrato sull’obiettivo di contenere il riscaldamento climatico a fine secolo quanto più possibile vicino a 1,5 °C. Ne risente necessariamente il documento del M</w:t>
      </w:r>
      <w:r>
        <w:rPr>
          <w:rFonts w:ascii="Trebuchet MS" w:hAnsi="Trebuchet MS"/>
          <w:color w:val="002060"/>
          <w:sz w:val="19"/>
          <w:szCs w:val="19"/>
        </w:rPr>
        <w:t>attm</w:t>
      </w:r>
      <w:r w:rsidRPr="00127E61">
        <w:rPr>
          <w:rFonts w:ascii="Trebuchet MS" w:hAnsi="Trebuchet MS"/>
          <w:color w:val="002060"/>
          <w:sz w:val="19"/>
          <w:szCs w:val="19"/>
        </w:rPr>
        <w:t xml:space="preserve"> </w:t>
      </w:r>
      <w:r>
        <w:rPr>
          <w:rFonts w:ascii="Trebuchet MS" w:hAnsi="Trebuchet MS"/>
          <w:color w:val="002060"/>
          <w:sz w:val="19"/>
          <w:szCs w:val="19"/>
        </w:rPr>
        <w:t xml:space="preserve">laddove </w:t>
      </w:r>
      <w:r w:rsidRPr="00127E61">
        <w:rPr>
          <w:rFonts w:ascii="Trebuchet MS" w:hAnsi="Trebuchet MS"/>
          <w:color w:val="002060"/>
          <w:sz w:val="19"/>
          <w:szCs w:val="19"/>
        </w:rPr>
        <w:t>dichiara, in relazione ad un particolare aspetto</w:t>
      </w:r>
      <w:r>
        <w:rPr>
          <w:rFonts w:ascii="Trebuchet MS" w:hAnsi="Trebuchet MS"/>
          <w:color w:val="002060"/>
          <w:sz w:val="19"/>
          <w:szCs w:val="19"/>
        </w:rPr>
        <w:t xml:space="preserve">, che </w:t>
      </w:r>
      <w:r w:rsidRPr="00127E61">
        <w:rPr>
          <w:rFonts w:ascii="Trebuchet MS" w:hAnsi="Trebuchet MS"/>
          <w:color w:val="002060"/>
          <w:sz w:val="19"/>
          <w:szCs w:val="19"/>
        </w:rPr>
        <w:t>“</w:t>
      </w:r>
      <w:r w:rsidRPr="00127E61">
        <w:rPr>
          <w:rFonts w:ascii="Trebuchet MS" w:hAnsi="Trebuchet MS"/>
          <w:i/>
          <w:color w:val="002060"/>
          <w:sz w:val="19"/>
          <w:szCs w:val="19"/>
        </w:rPr>
        <w:t>la scelta di adottare come indicatori la temperatura media superficiale dell’Italia e le emissioni nazionali di GHG … è stata dettata dalla necessità di fornire un quadro in merito agli obiettivi di mitigazione stabiliti a Parigi. La temperatura media superficiale dell’Italia segna valori crescenti. Le emissioni climalteranti fino al 2014 hanno registrato un andamento decrescente per poi iniziare a crescere nel 2015</w:t>
      </w:r>
      <w:r w:rsidRPr="00127E61">
        <w:rPr>
          <w:rFonts w:ascii="Trebuchet MS" w:hAnsi="Trebuchet MS"/>
          <w:color w:val="002060"/>
          <w:sz w:val="19"/>
          <w:szCs w:val="19"/>
        </w:rPr>
        <w:t>”. Non sarà possibile fare molto meglio finché nell’Agenda 2030, che precede Parigi, non sarà fatta l’integrazione formale della COP 21. D’altra parte l’acquisizione sostanziale della COP 21 entro l’Agenda 2030 è ripetutamente riaffermata in tutti i documenti delle Nazioni Unite. Analizziamo comunque il documento nei dettagli.</w:t>
      </w:r>
    </w:p>
    <w:p w14:paraId="6C097361" w14:textId="77777777" w:rsidR="00127E61" w:rsidRPr="00127E61" w:rsidRDefault="00127E61" w:rsidP="005A6934">
      <w:pPr>
        <w:spacing w:after="120"/>
        <w:jc w:val="both"/>
        <w:rPr>
          <w:rFonts w:ascii="Trebuchet MS" w:hAnsi="Trebuchet MS"/>
          <w:iCs/>
          <w:color w:val="002060"/>
          <w:sz w:val="19"/>
          <w:szCs w:val="19"/>
        </w:rPr>
      </w:pPr>
      <w:r>
        <w:rPr>
          <w:rFonts w:ascii="Trebuchet MS" w:hAnsi="Trebuchet MS"/>
          <w:color w:val="002060"/>
          <w:sz w:val="19"/>
          <w:szCs w:val="19"/>
        </w:rPr>
        <w:t xml:space="preserve">Con riferimento al </w:t>
      </w:r>
      <w:r>
        <w:rPr>
          <w:rFonts w:ascii="Trebuchet MS" w:hAnsi="Trebuchet MS"/>
          <w:b/>
          <w:color w:val="002060"/>
          <w:sz w:val="19"/>
          <w:szCs w:val="19"/>
        </w:rPr>
        <w:t>Target 13.1</w:t>
      </w:r>
      <w:r>
        <w:rPr>
          <w:rFonts w:ascii="Trebuchet MS" w:hAnsi="Trebuchet MS"/>
          <w:color w:val="002060"/>
          <w:sz w:val="19"/>
          <w:szCs w:val="19"/>
        </w:rPr>
        <w:t xml:space="preserve"> </w:t>
      </w:r>
      <w:r w:rsidRPr="00127E61">
        <w:rPr>
          <w:rFonts w:ascii="Trebuchet MS" w:hAnsi="Trebuchet MS"/>
          <w:iCs/>
          <w:color w:val="002060"/>
          <w:sz w:val="19"/>
          <w:szCs w:val="19"/>
        </w:rPr>
        <w:t xml:space="preserve">Il documento si diffonde a lungo ed in maniera condivisibile sulla Strategia Nazionale per l’adattamento ai cambiamenti climatici (SNACC). Ciò ci assicura un punto nello </w:t>
      </w:r>
      <w:r w:rsidRPr="00127E61">
        <w:rPr>
          <w:rFonts w:ascii="Trebuchet MS" w:hAnsi="Trebuchet MS"/>
          <w:i/>
          <w:iCs/>
          <w:color w:val="002060"/>
          <w:sz w:val="19"/>
          <w:szCs w:val="19"/>
        </w:rPr>
        <w:t>score</w:t>
      </w:r>
      <w:r w:rsidRPr="00127E61">
        <w:rPr>
          <w:rFonts w:ascii="Trebuchet MS" w:hAnsi="Trebuchet MS"/>
          <w:iCs/>
          <w:color w:val="002060"/>
          <w:sz w:val="19"/>
          <w:szCs w:val="19"/>
        </w:rPr>
        <w:t xml:space="preserve"> mondiale dell’indicatore 13.1.1. Il documento inoltre assicurerebbe la possibilità di quantificare con dati Istat l’indicatore 13.1.2. Ci sembrano però apparenti alcune sciatterie: “</w:t>
      </w:r>
      <w:r w:rsidRPr="00127E61">
        <w:rPr>
          <w:rFonts w:ascii="Trebuchet MS" w:hAnsi="Trebuchet MS"/>
          <w:i/>
          <w:iCs/>
          <w:color w:val="002060"/>
          <w:sz w:val="19"/>
          <w:szCs w:val="19"/>
        </w:rPr>
        <w:t>Indicatore 13.1?</w:t>
      </w:r>
      <w:r w:rsidRPr="00127E61">
        <w:rPr>
          <w:rFonts w:ascii="Trebuchet MS" w:hAnsi="Trebuchet MS"/>
          <w:iCs/>
          <w:color w:val="002060"/>
          <w:sz w:val="19"/>
          <w:szCs w:val="19"/>
        </w:rPr>
        <w:t>” e soprattutto il dato “</w:t>
      </w:r>
      <w:r w:rsidRPr="00127E61">
        <w:rPr>
          <w:rFonts w:ascii="Trebuchet MS" w:hAnsi="Trebuchet MS"/>
          <w:i/>
          <w:iCs/>
          <w:color w:val="002060"/>
          <w:sz w:val="19"/>
          <w:szCs w:val="19"/>
        </w:rPr>
        <w:t>Il rischio relativo alla mortalità per frane e inondazioni nel periodo 2011-2015 si è ridotto del 69% rispetto ai 50 anni precedenti, mentre per quanto riguarda evacuazioni e frane, riferito allo stesso periodo, si è ridotto del 40% a livello nazionale (Figura 100 e Figura 101</w:t>
      </w:r>
      <w:r w:rsidRPr="00127E61">
        <w:rPr>
          <w:rFonts w:ascii="Trebuchet MS" w:hAnsi="Trebuchet MS"/>
          <w:iCs/>
          <w:color w:val="002060"/>
          <w:sz w:val="19"/>
          <w:szCs w:val="19"/>
        </w:rPr>
        <w:t>”. In realtà non viene calcolato il dato medio annua</w:t>
      </w:r>
      <w:r>
        <w:rPr>
          <w:rFonts w:ascii="Trebuchet MS" w:hAnsi="Trebuchet MS"/>
          <w:iCs/>
          <w:color w:val="002060"/>
          <w:sz w:val="19"/>
          <w:szCs w:val="19"/>
        </w:rPr>
        <w:t xml:space="preserve">le, </w:t>
      </w:r>
      <w:r w:rsidRPr="00127E61">
        <w:rPr>
          <w:rFonts w:ascii="Trebuchet MS" w:hAnsi="Trebuchet MS"/>
          <w:iCs/>
          <w:color w:val="002060"/>
          <w:sz w:val="19"/>
          <w:szCs w:val="19"/>
        </w:rPr>
        <w:t>che va riferito a due periodi di durata molto diversa e che, calcolato correttamente, evidenzia un netto peggioramento.</w:t>
      </w:r>
    </w:p>
    <w:p w14:paraId="419C4D98" w14:textId="77777777" w:rsidR="00127E61" w:rsidRDefault="00127E61" w:rsidP="005A6934">
      <w:pPr>
        <w:spacing w:after="120"/>
        <w:jc w:val="both"/>
        <w:rPr>
          <w:rFonts w:ascii="Trebuchet MS" w:hAnsi="Trebuchet MS"/>
          <w:iCs/>
          <w:color w:val="002060"/>
          <w:sz w:val="19"/>
          <w:szCs w:val="19"/>
        </w:rPr>
      </w:pPr>
      <w:r w:rsidRPr="00127E61">
        <w:rPr>
          <w:rFonts w:ascii="Trebuchet MS" w:hAnsi="Trebuchet MS"/>
          <w:iCs/>
          <w:color w:val="002060"/>
          <w:sz w:val="19"/>
          <w:szCs w:val="19"/>
        </w:rPr>
        <w:t xml:space="preserve">Il </w:t>
      </w:r>
      <w:r w:rsidRPr="00127E61">
        <w:rPr>
          <w:rFonts w:ascii="Trebuchet MS" w:hAnsi="Trebuchet MS"/>
          <w:b/>
          <w:iCs/>
          <w:color w:val="002060"/>
          <w:sz w:val="19"/>
          <w:szCs w:val="19"/>
        </w:rPr>
        <w:t>Target 13.2</w:t>
      </w:r>
      <w:r w:rsidRPr="00127E61">
        <w:rPr>
          <w:rFonts w:ascii="Trebuchet MS" w:hAnsi="Trebuchet MS"/>
          <w:iCs/>
          <w:color w:val="002060"/>
          <w:sz w:val="19"/>
          <w:szCs w:val="19"/>
        </w:rPr>
        <w:t xml:space="preserve"> è chiaro e rimanda ad una statis</w:t>
      </w:r>
      <w:r>
        <w:rPr>
          <w:rFonts w:ascii="Trebuchet MS" w:hAnsi="Trebuchet MS"/>
          <w:iCs/>
          <w:color w:val="002060"/>
          <w:sz w:val="19"/>
          <w:szCs w:val="19"/>
        </w:rPr>
        <w:t xml:space="preserve">tica globale. L’indicatore IAEG-SDGs </w:t>
      </w:r>
      <w:r w:rsidRPr="00127E61">
        <w:rPr>
          <w:rFonts w:ascii="Trebuchet MS" w:hAnsi="Trebuchet MS"/>
          <w:iCs/>
          <w:color w:val="002060"/>
          <w:sz w:val="19"/>
          <w:szCs w:val="19"/>
        </w:rPr>
        <w:t xml:space="preserve">semplifica il problema esposto nel </w:t>
      </w:r>
      <w:r>
        <w:rPr>
          <w:rFonts w:ascii="Trebuchet MS" w:hAnsi="Trebuchet MS"/>
          <w:iCs/>
          <w:color w:val="002060"/>
          <w:sz w:val="19"/>
          <w:szCs w:val="19"/>
        </w:rPr>
        <w:t>T</w:t>
      </w:r>
      <w:r w:rsidRPr="00127E61">
        <w:rPr>
          <w:rFonts w:ascii="Trebuchet MS" w:hAnsi="Trebuchet MS"/>
          <w:iCs/>
          <w:color w:val="002060"/>
          <w:sz w:val="19"/>
          <w:szCs w:val="19"/>
        </w:rPr>
        <w:t>arget ad un conteggio di piani di vario tipo. Considerato che dispon</w:t>
      </w:r>
      <w:r>
        <w:rPr>
          <w:rFonts w:ascii="Trebuchet MS" w:hAnsi="Trebuchet MS"/>
          <w:iCs/>
          <w:color w:val="002060"/>
          <w:sz w:val="19"/>
          <w:szCs w:val="19"/>
        </w:rPr>
        <w:t xml:space="preserve">iamo di uno SNACC, </w:t>
      </w:r>
      <w:r w:rsidRPr="00127E61">
        <w:rPr>
          <w:rFonts w:ascii="Trebuchet MS" w:hAnsi="Trebuchet MS"/>
          <w:iCs/>
          <w:color w:val="002060"/>
          <w:sz w:val="19"/>
          <w:szCs w:val="19"/>
        </w:rPr>
        <w:t>come il documento ha già generosamente illustrato nel testo relativo target 13.1, non si riesce veramente</w:t>
      </w:r>
      <w:r>
        <w:rPr>
          <w:rFonts w:ascii="Trebuchet MS" w:hAnsi="Trebuchet MS"/>
          <w:iCs/>
          <w:color w:val="002060"/>
          <w:sz w:val="19"/>
          <w:szCs w:val="19"/>
        </w:rPr>
        <w:t xml:space="preserve"> a capire perché il documento si</w:t>
      </w:r>
      <w:r w:rsidRPr="00127E61">
        <w:rPr>
          <w:rFonts w:ascii="Trebuchet MS" w:hAnsi="Trebuchet MS"/>
          <w:iCs/>
          <w:color w:val="002060"/>
          <w:sz w:val="19"/>
          <w:szCs w:val="19"/>
        </w:rPr>
        <w:t xml:space="preserve"> inoltri in una sequela di dati fisici sui cambiamenti climatici che non hanno nessuna attinenza né col </w:t>
      </w:r>
      <w:r>
        <w:rPr>
          <w:rFonts w:ascii="Trebuchet MS" w:hAnsi="Trebuchet MS"/>
          <w:iCs/>
          <w:color w:val="002060"/>
          <w:sz w:val="19"/>
          <w:szCs w:val="19"/>
        </w:rPr>
        <w:t>T</w:t>
      </w:r>
      <w:r w:rsidRPr="00127E61">
        <w:rPr>
          <w:rFonts w:ascii="Trebuchet MS" w:hAnsi="Trebuchet MS"/>
          <w:iCs/>
          <w:color w:val="002060"/>
          <w:sz w:val="19"/>
          <w:szCs w:val="19"/>
        </w:rPr>
        <w:t xml:space="preserve">arget né con l’indicatore. In compenso la digressione adombra il fatto che non abbiamo i piani necessari e che l’integrazione richiesta dal </w:t>
      </w:r>
      <w:r>
        <w:rPr>
          <w:rFonts w:ascii="Trebuchet MS" w:hAnsi="Trebuchet MS"/>
          <w:iCs/>
          <w:color w:val="002060"/>
          <w:sz w:val="19"/>
          <w:szCs w:val="19"/>
        </w:rPr>
        <w:t>T</w:t>
      </w:r>
      <w:r w:rsidRPr="00127E61">
        <w:rPr>
          <w:rFonts w:ascii="Trebuchet MS" w:hAnsi="Trebuchet MS"/>
          <w:iCs/>
          <w:color w:val="002060"/>
          <w:sz w:val="19"/>
          <w:szCs w:val="19"/>
        </w:rPr>
        <w:t>arge</w:t>
      </w:r>
      <w:r>
        <w:rPr>
          <w:rFonts w:ascii="Trebuchet MS" w:hAnsi="Trebuchet MS"/>
          <w:iCs/>
          <w:color w:val="002060"/>
          <w:sz w:val="19"/>
          <w:szCs w:val="19"/>
        </w:rPr>
        <w:t>t 13.2 in Italia è una chimera.</w:t>
      </w:r>
    </w:p>
    <w:p w14:paraId="245995B7" w14:textId="77777777" w:rsidR="00127E61" w:rsidRPr="00127E61" w:rsidRDefault="00127E61" w:rsidP="005A6934">
      <w:pPr>
        <w:spacing w:after="120"/>
        <w:jc w:val="both"/>
        <w:rPr>
          <w:rFonts w:ascii="Trebuchet MS" w:hAnsi="Trebuchet MS"/>
          <w:iCs/>
          <w:color w:val="002060"/>
          <w:sz w:val="19"/>
          <w:szCs w:val="19"/>
        </w:rPr>
      </w:pPr>
      <w:r w:rsidRPr="00127E61">
        <w:rPr>
          <w:rFonts w:ascii="Trebuchet MS" w:hAnsi="Trebuchet MS"/>
          <w:iCs/>
          <w:color w:val="002060"/>
          <w:sz w:val="19"/>
          <w:szCs w:val="19"/>
        </w:rPr>
        <w:t>Nessuna osservazione</w:t>
      </w:r>
      <w:r>
        <w:rPr>
          <w:rFonts w:ascii="Trebuchet MS" w:hAnsi="Trebuchet MS"/>
          <w:iCs/>
          <w:color w:val="002060"/>
          <w:sz w:val="19"/>
          <w:szCs w:val="19"/>
        </w:rPr>
        <w:t xml:space="preserve"> rispetto al </w:t>
      </w:r>
      <w:r>
        <w:rPr>
          <w:rFonts w:ascii="Trebuchet MS" w:hAnsi="Trebuchet MS"/>
          <w:b/>
          <w:iCs/>
          <w:color w:val="002060"/>
          <w:sz w:val="19"/>
          <w:szCs w:val="19"/>
        </w:rPr>
        <w:t>Target 13.3</w:t>
      </w:r>
      <w:r>
        <w:rPr>
          <w:rFonts w:ascii="Trebuchet MS" w:hAnsi="Trebuchet MS"/>
          <w:iCs/>
          <w:color w:val="002060"/>
          <w:sz w:val="19"/>
          <w:szCs w:val="19"/>
        </w:rPr>
        <w:t>, per il quale ri</w:t>
      </w:r>
      <w:r w:rsidRPr="00127E61">
        <w:rPr>
          <w:rFonts w:ascii="Trebuchet MS" w:hAnsi="Trebuchet MS"/>
          <w:iCs/>
          <w:color w:val="002060"/>
          <w:sz w:val="19"/>
          <w:szCs w:val="19"/>
        </w:rPr>
        <w:t xml:space="preserve">mandiamo alle osservazioni del GdL di altro indicatore, il </w:t>
      </w:r>
      <w:r>
        <w:rPr>
          <w:rFonts w:ascii="Trebuchet MS" w:hAnsi="Trebuchet MS"/>
          <w:iCs/>
          <w:color w:val="002060"/>
          <w:sz w:val="19"/>
          <w:szCs w:val="19"/>
        </w:rPr>
        <w:t xml:space="preserve">Goal </w:t>
      </w:r>
      <w:r w:rsidRPr="00127E61">
        <w:rPr>
          <w:rFonts w:ascii="Trebuchet MS" w:hAnsi="Trebuchet MS"/>
          <w:iCs/>
          <w:color w:val="002060"/>
          <w:sz w:val="19"/>
          <w:szCs w:val="19"/>
        </w:rPr>
        <w:t>4. Notiamo che l’indicatore 13.3.2 è la corretta estensione e completamento del 13.1.1.</w:t>
      </w:r>
    </w:p>
    <w:p w14:paraId="1BD14AA0" w14:textId="77777777" w:rsidR="00127E61" w:rsidRPr="00127E61" w:rsidRDefault="00127E61" w:rsidP="005A6934">
      <w:pPr>
        <w:spacing w:after="120"/>
        <w:jc w:val="both"/>
        <w:rPr>
          <w:rFonts w:ascii="Trebuchet MS" w:hAnsi="Trebuchet MS"/>
          <w:color w:val="002060"/>
          <w:sz w:val="19"/>
          <w:szCs w:val="19"/>
        </w:rPr>
      </w:pPr>
      <w:r>
        <w:rPr>
          <w:rFonts w:ascii="Trebuchet MS" w:hAnsi="Trebuchet MS"/>
          <w:iCs/>
          <w:color w:val="002060"/>
          <w:sz w:val="19"/>
          <w:szCs w:val="19"/>
        </w:rPr>
        <w:t xml:space="preserve">Il </w:t>
      </w:r>
      <w:r>
        <w:rPr>
          <w:rFonts w:ascii="Trebuchet MS" w:hAnsi="Trebuchet MS"/>
          <w:b/>
          <w:iCs/>
          <w:color w:val="002060"/>
          <w:sz w:val="19"/>
          <w:szCs w:val="19"/>
        </w:rPr>
        <w:t>Target. 13.a</w:t>
      </w:r>
      <w:r>
        <w:rPr>
          <w:rFonts w:ascii="Trebuchet MS" w:hAnsi="Trebuchet MS"/>
          <w:iCs/>
          <w:color w:val="002060"/>
          <w:sz w:val="19"/>
          <w:szCs w:val="19"/>
        </w:rPr>
        <w:t xml:space="preserve"> è chiaro e altrettanto lo è l’indicatore.</w:t>
      </w:r>
      <w:r w:rsidRPr="00127E61">
        <w:rPr>
          <w:rFonts w:ascii="Trebuchet MS" w:hAnsi="Trebuchet MS"/>
          <w:iCs/>
          <w:color w:val="002060"/>
          <w:sz w:val="19"/>
          <w:szCs w:val="19"/>
        </w:rPr>
        <w:t xml:space="preserve"> Si tratta di finanziare il GCF, Global Climate Fund “</w:t>
      </w:r>
      <w:r w:rsidRPr="00127E61">
        <w:rPr>
          <w:rFonts w:ascii="Trebuchet MS" w:hAnsi="Trebuchet MS"/>
          <w:b/>
          <w:bCs/>
          <w:i/>
          <w:iCs/>
          <w:color w:val="002060"/>
          <w:sz w:val="19"/>
          <w:szCs w:val="19"/>
        </w:rPr>
        <w:t>in un contesto di azioni di mitigazione significative e di trasparenza nell’implementazione”</w:t>
      </w:r>
      <w:r w:rsidRPr="00127E61">
        <w:rPr>
          <w:rFonts w:ascii="Trebuchet MS" w:hAnsi="Trebuchet MS"/>
          <w:iCs/>
          <w:color w:val="002060"/>
          <w:sz w:val="19"/>
          <w:szCs w:val="19"/>
        </w:rPr>
        <w:t xml:space="preserve">, in modo </w:t>
      </w:r>
      <w:r>
        <w:rPr>
          <w:rFonts w:ascii="Trebuchet MS" w:hAnsi="Trebuchet MS"/>
          <w:iCs/>
          <w:color w:val="002060"/>
          <w:sz w:val="19"/>
          <w:szCs w:val="19"/>
        </w:rPr>
        <w:t xml:space="preserve">tale da </w:t>
      </w:r>
      <w:r w:rsidRPr="00127E61">
        <w:rPr>
          <w:rFonts w:ascii="Trebuchet MS" w:hAnsi="Trebuchet MS"/>
          <w:iCs/>
          <w:color w:val="002060"/>
          <w:sz w:val="19"/>
          <w:szCs w:val="19"/>
        </w:rPr>
        <w:t xml:space="preserve">arrivare a 100 Mld$/anno entro il 2020, unica finalità quotata dall’indicatore. Sono </w:t>
      </w:r>
      <w:r>
        <w:rPr>
          <w:rFonts w:ascii="Trebuchet MS" w:hAnsi="Trebuchet MS"/>
          <w:iCs/>
          <w:color w:val="002060"/>
          <w:sz w:val="19"/>
          <w:szCs w:val="19"/>
        </w:rPr>
        <w:t xml:space="preserve">spese </w:t>
      </w:r>
      <w:r w:rsidRPr="00127E61">
        <w:rPr>
          <w:rFonts w:ascii="Trebuchet MS" w:hAnsi="Trebuchet MS"/>
          <w:iCs/>
          <w:color w:val="002060"/>
          <w:sz w:val="19"/>
          <w:szCs w:val="19"/>
        </w:rPr>
        <w:t xml:space="preserve">in più rispetto a quanto finora fatto nell’ambito della Convenzione UNFCCC del 1992 (Rio). Non si capisce quindi che senso abbiano le comunicazioni e le percentuali citate nel documento Mattm e riferite ad annualità precedenti </w:t>
      </w:r>
      <w:r>
        <w:rPr>
          <w:rFonts w:ascii="Trebuchet MS" w:hAnsi="Trebuchet MS"/>
          <w:iCs/>
          <w:color w:val="002060"/>
          <w:sz w:val="19"/>
          <w:szCs w:val="19"/>
        </w:rPr>
        <w:t>al</w:t>
      </w:r>
      <w:r w:rsidRPr="00127E61">
        <w:rPr>
          <w:rFonts w:ascii="Trebuchet MS" w:hAnsi="Trebuchet MS"/>
          <w:iCs/>
          <w:color w:val="002060"/>
          <w:sz w:val="19"/>
          <w:szCs w:val="19"/>
        </w:rPr>
        <w:t xml:space="preserve"> GCF. In attesa che la quota target europea ed italiana riceva una definizione formale, ci sembra di</w:t>
      </w:r>
      <w:r>
        <w:rPr>
          <w:rFonts w:ascii="Trebuchet MS" w:hAnsi="Trebuchet MS"/>
          <w:iCs/>
          <w:color w:val="002060"/>
          <w:sz w:val="19"/>
          <w:szCs w:val="19"/>
        </w:rPr>
        <w:t xml:space="preserve"> poter dire che l’indicatore 13</w:t>
      </w:r>
      <w:r w:rsidRPr="00127E61">
        <w:rPr>
          <w:rFonts w:ascii="Trebuchet MS" w:hAnsi="Trebuchet MS"/>
          <w:iCs/>
          <w:color w:val="002060"/>
          <w:sz w:val="19"/>
          <w:szCs w:val="19"/>
        </w:rPr>
        <w:t>a.1. è mancante o gravemente impreciso.</w:t>
      </w:r>
    </w:p>
    <w:p w14:paraId="472897FE" w14:textId="77777777" w:rsidR="00EE45B6" w:rsidRPr="00127E61" w:rsidRDefault="00127E61" w:rsidP="005A6934">
      <w:pPr>
        <w:spacing w:after="120"/>
        <w:jc w:val="both"/>
        <w:rPr>
          <w:rFonts w:ascii="Trebuchet MS" w:hAnsi="Trebuchet MS"/>
          <w:color w:val="002060"/>
          <w:sz w:val="19"/>
          <w:szCs w:val="19"/>
        </w:rPr>
      </w:pPr>
      <w:r>
        <w:rPr>
          <w:rFonts w:ascii="Trebuchet MS" w:hAnsi="Trebuchet MS"/>
          <w:color w:val="002060"/>
          <w:sz w:val="19"/>
          <w:szCs w:val="19"/>
        </w:rPr>
        <w:t xml:space="preserve">Infine, riguardo al </w:t>
      </w:r>
      <w:r>
        <w:rPr>
          <w:rFonts w:ascii="Trebuchet MS" w:hAnsi="Trebuchet MS"/>
          <w:b/>
          <w:color w:val="002060"/>
          <w:sz w:val="19"/>
          <w:szCs w:val="19"/>
        </w:rPr>
        <w:t>Target 13.b</w:t>
      </w:r>
      <w:r>
        <w:rPr>
          <w:rFonts w:ascii="Trebuchet MS" w:hAnsi="Trebuchet MS"/>
          <w:color w:val="002060"/>
          <w:sz w:val="19"/>
          <w:szCs w:val="19"/>
        </w:rPr>
        <w:t>, l’indicatore IAEG-SDGs semplifica drasticamente la tematica del Target. Così stando le cose, nulla sarebbe richiesto ai singoli paesi sviluppati se non creare globalmente un quadro efficace di sostegno ai paesi meno sviluppati. Il testo proposto dal Ministero appare pertanto del tutto incongruo.</w:t>
      </w:r>
    </w:p>
    <w:p w14:paraId="7B5BCA21" w14:textId="77777777" w:rsidR="00BD21E5" w:rsidRPr="00EA25B4" w:rsidRDefault="00BD21E5" w:rsidP="005A6934">
      <w:pPr>
        <w:spacing w:after="120"/>
        <w:jc w:val="both"/>
        <w:rPr>
          <w:rFonts w:ascii="Trebuchet MS" w:hAnsi="Trebuchet MS"/>
          <w:color w:val="002060"/>
          <w:sz w:val="19"/>
          <w:szCs w:val="19"/>
        </w:rPr>
      </w:pPr>
    </w:p>
    <w:p w14:paraId="0B66528C" w14:textId="77777777" w:rsidR="008D1050" w:rsidRPr="00EA25B4" w:rsidRDefault="008D1050" w:rsidP="005A6934">
      <w:pPr>
        <w:spacing w:after="120"/>
        <w:jc w:val="both"/>
        <w:rPr>
          <w:rFonts w:ascii="Trebuchet MS" w:hAnsi="Trebuchet MS"/>
          <w:color w:val="002060"/>
          <w:sz w:val="19"/>
          <w:szCs w:val="19"/>
        </w:rPr>
      </w:pPr>
      <w:r w:rsidRPr="00EA25B4">
        <w:rPr>
          <w:rFonts w:ascii="Trebuchet MS" w:hAnsi="Trebuchet MS"/>
          <w:color w:val="002060"/>
          <w:sz w:val="19"/>
          <w:szCs w:val="19"/>
          <w:u w:val="single"/>
        </w:rPr>
        <w:t>Obiettivo 14 – Flora e fauna acquatica</w:t>
      </w:r>
    </w:p>
    <w:p w14:paraId="6F797064" w14:textId="77777777" w:rsidR="005B1315" w:rsidRPr="00EA25B4" w:rsidRDefault="005B1315" w:rsidP="005A6934">
      <w:pPr>
        <w:spacing w:after="120"/>
        <w:jc w:val="both"/>
        <w:rPr>
          <w:rFonts w:ascii="Trebuchet MS" w:hAnsi="Trebuchet MS"/>
          <w:color w:val="002060"/>
          <w:sz w:val="19"/>
          <w:szCs w:val="19"/>
        </w:rPr>
      </w:pPr>
      <w:r w:rsidRPr="00EA25B4">
        <w:rPr>
          <w:rFonts w:ascii="Trebuchet MS" w:hAnsi="Trebuchet MS"/>
          <w:color w:val="002060"/>
          <w:sz w:val="19"/>
          <w:szCs w:val="19"/>
        </w:rPr>
        <w:lastRenderedPageBreak/>
        <w:t xml:space="preserve">La valutazione generale del </w:t>
      </w:r>
      <w:r w:rsidR="004A582E" w:rsidRPr="00EA25B4">
        <w:rPr>
          <w:rFonts w:ascii="Trebuchet MS" w:hAnsi="Trebuchet MS"/>
          <w:color w:val="002060"/>
          <w:sz w:val="19"/>
          <w:szCs w:val="19"/>
        </w:rPr>
        <w:t>MATTM</w:t>
      </w:r>
      <w:r w:rsidRPr="00EA25B4">
        <w:rPr>
          <w:rFonts w:ascii="Trebuchet MS" w:hAnsi="Trebuchet MS"/>
          <w:color w:val="002060"/>
          <w:sz w:val="19"/>
          <w:szCs w:val="19"/>
        </w:rPr>
        <w:t xml:space="preserve"> sul </w:t>
      </w:r>
      <w:r w:rsidR="00AF5386" w:rsidRPr="00EA25B4">
        <w:rPr>
          <w:rFonts w:ascii="Trebuchet MS" w:hAnsi="Trebuchet MS"/>
          <w:color w:val="002060"/>
          <w:sz w:val="19"/>
          <w:szCs w:val="19"/>
        </w:rPr>
        <w:t>Goal</w:t>
      </w:r>
      <w:r w:rsidRPr="00EA25B4">
        <w:rPr>
          <w:rFonts w:ascii="Trebuchet MS" w:hAnsi="Trebuchet MS"/>
          <w:color w:val="002060"/>
          <w:sz w:val="19"/>
          <w:szCs w:val="19"/>
        </w:rPr>
        <w:t xml:space="preserve"> 14, come a suo tempo la nostra, è mediamente negativa. Ciò che è da ribadire è la contraddizione evidente tra il nostro assetto normativo di derivazione comunitaria, che pone obiettivi di risultato coerenti con i </w:t>
      </w:r>
      <w:r w:rsidR="00AF5386" w:rsidRPr="00EA25B4">
        <w:rPr>
          <w:rFonts w:ascii="Trebuchet MS" w:hAnsi="Trebuchet MS"/>
          <w:color w:val="002060"/>
          <w:sz w:val="19"/>
          <w:szCs w:val="19"/>
        </w:rPr>
        <w:t>Target</w:t>
      </w:r>
      <w:r w:rsidRPr="00EA25B4">
        <w:rPr>
          <w:rFonts w:ascii="Trebuchet MS" w:hAnsi="Trebuchet MS"/>
          <w:color w:val="002060"/>
          <w:sz w:val="19"/>
          <w:szCs w:val="19"/>
        </w:rPr>
        <w:t xml:space="preserve"> dello specifico </w:t>
      </w:r>
      <w:r w:rsidR="00AF5386" w:rsidRPr="00EA25B4">
        <w:rPr>
          <w:rFonts w:ascii="Trebuchet MS" w:hAnsi="Trebuchet MS"/>
          <w:color w:val="002060"/>
          <w:sz w:val="19"/>
          <w:szCs w:val="19"/>
        </w:rPr>
        <w:t>Goal</w:t>
      </w:r>
      <w:r w:rsidRPr="00EA25B4">
        <w:rPr>
          <w:rFonts w:ascii="Trebuchet MS" w:hAnsi="Trebuchet MS"/>
          <w:color w:val="002060"/>
          <w:sz w:val="19"/>
          <w:szCs w:val="19"/>
        </w:rPr>
        <w:t>, e la nostra capacità effettiva al conseguimento d</w:t>
      </w:r>
      <w:r w:rsidR="00FB5590" w:rsidRPr="00EA25B4">
        <w:rPr>
          <w:rFonts w:ascii="Trebuchet MS" w:hAnsi="Trebuchet MS"/>
          <w:color w:val="002060"/>
          <w:sz w:val="19"/>
          <w:szCs w:val="19"/>
        </w:rPr>
        <w:t xml:space="preserve">ei risultati. Il mare richiede </w:t>
      </w:r>
      <w:r w:rsidR="009F623C" w:rsidRPr="00EA25B4">
        <w:rPr>
          <w:rFonts w:ascii="Trebuchet MS" w:hAnsi="Trebuchet MS"/>
          <w:color w:val="002060"/>
          <w:sz w:val="19"/>
          <w:szCs w:val="19"/>
        </w:rPr>
        <w:t xml:space="preserve">priorità e particolare urgenza </w:t>
      </w:r>
      <w:r w:rsidRPr="00EA25B4">
        <w:rPr>
          <w:rFonts w:ascii="Trebuchet MS" w:hAnsi="Trebuchet MS"/>
          <w:color w:val="002060"/>
          <w:sz w:val="19"/>
          <w:szCs w:val="19"/>
        </w:rPr>
        <w:t xml:space="preserve">come anche </w:t>
      </w:r>
      <w:r w:rsidRPr="00EA25B4">
        <w:rPr>
          <w:rFonts w:ascii="Trebuchet MS" w:hAnsi="Trebuchet MS"/>
          <w:i/>
          <w:color w:val="002060"/>
          <w:sz w:val="19"/>
          <w:szCs w:val="19"/>
        </w:rPr>
        <w:t>giustamente</w:t>
      </w:r>
      <w:r w:rsidRPr="00EA25B4">
        <w:rPr>
          <w:rFonts w:ascii="Trebuchet MS" w:hAnsi="Trebuchet MS"/>
          <w:color w:val="002060"/>
          <w:sz w:val="19"/>
          <w:szCs w:val="19"/>
        </w:rPr>
        <w:t xml:space="preserve"> buona parte dei </w:t>
      </w:r>
      <w:r w:rsidR="00AF5386" w:rsidRPr="00EA25B4">
        <w:rPr>
          <w:rFonts w:ascii="Trebuchet MS" w:hAnsi="Trebuchet MS"/>
          <w:color w:val="002060"/>
          <w:sz w:val="19"/>
          <w:szCs w:val="19"/>
        </w:rPr>
        <w:t>Target</w:t>
      </w:r>
      <w:r w:rsidRPr="00EA25B4">
        <w:rPr>
          <w:rFonts w:ascii="Trebuchet MS" w:hAnsi="Trebuchet MS"/>
          <w:color w:val="002060"/>
          <w:sz w:val="19"/>
          <w:szCs w:val="19"/>
        </w:rPr>
        <w:t xml:space="preserve"> di questo </w:t>
      </w:r>
      <w:r w:rsidR="00AF5386" w:rsidRPr="00EA25B4">
        <w:rPr>
          <w:rFonts w:ascii="Trebuchet MS" w:hAnsi="Trebuchet MS"/>
          <w:color w:val="002060"/>
          <w:sz w:val="19"/>
          <w:szCs w:val="19"/>
        </w:rPr>
        <w:t>Goal</w:t>
      </w:r>
      <w:r w:rsidRPr="00EA25B4">
        <w:rPr>
          <w:rFonts w:ascii="Trebuchet MS" w:hAnsi="Trebuchet MS"/>
          <w:color w:val="002060"/>
          <w:sz w:val="19"/>
          <w:szCs w:val="19"/>
        </w:rPr>
        <w:t xml:space="preserve">, che chiedono di essere soddisfatti entro il 2020. </w:t>
      </w:r>
    </w:p>
    <w:p w14:paraId="20D99AA0" w14:textId="77777777" w:rsidR="005B1315" w:rsidRPr="00EA25B4" w:rsidRDefault="005B1315"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Gli 11 descrittori GES della Strategia per l’Ambiente Marino definiti nel 2010 dalla Commissione europea consentono di coprire adeguatamente il monitoraggio per il conseguimento del </w:t>
      </w:r>
      <w:r w:rsidR="00AF5386" w:rsidRPr="00EA25B4">
        <w:rPr>
          <w:rFonts w:ascii="Trebuchet MS" w:hAnsi="Trebuchet MS"/>
          <w:color w:val="002060"/>
          <w:sz w:val="19"/>
          <w:szCs w:val="19"/>
        </w:rPr>
        <w:t>Target</w:t>
      </w:r>
      <w:r w:rsidRPr="00EA25B4">
        <w:rPr>
          <w:rFonts w:ascii="Trebuchet MS" w:hAnsi="Trebuchet MS"/>
          <w:color w:val="002060"/>
          <w:sz w:val="19"/>
          <w:szCs w:val="19"/>
        </w:rPr>
        <w:t xml:space="preserve"> 14.1 sull’inquinamento marino, 14.2 e 14.4 su gestione e protezione degli ecosistemi marini e gestione sostenibile degli stock ittici.</w:t>
      </w:r>
    </w:p>
    <w:p w14:paraId="570DADFC" w14:textId="77777777" w:rsidR="00E701FB" w:rsidRPr="00EA25B4" w:rsidRDefault="005B1315" w:rsidP="005A6934">
      <w:pPr>
        <w:spacing w:after="120"/>
        <w:jc w:val="both"/>
        <w:rPr>
          <w:rFonts w:ascii="Trebuchet MS" w:hAnsi="Trebuchet MS"/>
          <w:color w:val="002060"/>
          <w:sz w:val="19"/>
          <w:szCs w:val="19"/>
        </w:rPr>
      </w:pPr>
      <w:r w:rsidRPr="00EA25B4">
        <w:rPr>
          <w:rFonts w:ascii="Trebuchet MS" w:hAnsi="Trebuchet MS"/>
          <w:color w:val="002060"/>
          <w:sz w:val="19"/>
          <w:szCs w:val="19"/>
        </w:rPr>
        <w:t>Per il monitoraggio dei descrittori GES è stata istituita una banca dati online, ma ad oggi non è ancora presente un rapporto di monitoraggio utile all’accertamento in sintesi dello stato di fatto. A titolo di esempio, nell’ultimo annuario ISPRA sui dati ambientali 2014-2015 risulta che tutti gli stock ittici valutati sono in condizione di sovra-sfruttamento (figura 20). La percentuale degli stock ittici sovra-sfruttati è in crescita tendenziale dal 2007 ed era pari al 95% nel 2013.</w:t>
      </w:r>
    </w:p>
    <w:p w14:paraId="42D88FC9" w14:textId="77777777" w:rsidR="0094606D" w:rsidRPr="00EA25B4" w:rsidRDefault="005B1315"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Rispetto al </w:t>
      </w:r>
      <w:r w:rsidR="00AF5386" w:rsidRPr="00EA25B4">
        <w:rPr>
          <w:rFonts w:ascii="Trebuchet MS" w:hAnsi="Trebuchet MS"/>
          <w:b/>
          <w:color w:val="002060"/>
          <w:sz w:val="19"/>
          <w:szCs w:val="19"/>
        </w:rPr>
        <w:t>Target</w:t>
      </w:r>
      <w:r w:rsidRPr="00EA25B4">
        <w:rPr>
          <w:rFonts w:ascii="Trebuchet MS" w:hAnsi="Trebuchet MS"/>
          <w:b/>
          <w:color w:val="002060"/>
          <w:sz w:val="19"/>
          <w:szCs w:val="19"/>
        </w:rPr>
        <w:t xml:space="preserve"> 14.5</w:t>
      </w:r>
      <w:r w:rsidRPr="00EA25B4">
        <w:rPr>
          <w:rFonts w:ascii="Trebuchet MS" w:hAnsi="Trebuchet MS"/>
          <w:color w:val="002060"/>
          <w:sz w:val="19"/>
          <w:szCs w:val="19"/>
        </w:rPr>
        <w:t xml:space="preserve">, le zone costiere e marine protette risultano essere il 19,1% del totale, soddisfacendo il </w:t>
      </w:r>
      <w:r w:rsidR="00AF5386" w:rsidRPr="00EA25B4">
        <w:rPr>
          <w:rFonts w:ascii="Trebuchet MS" w:hAnsi="Trebuchet MS"/>
          <w:color w:val="002060"/>
          <w:sz w:val="19"/>
          <w:szCs w:val="19"/>
        </w:rPr>
        <w:t>Target</w:t>
      </w:r>
      <w:r w:rsidRPr="00EA25B4">
        <w:rPr>
          <w:rFonts w:ascii="Trebuchet MS" w:hAnsi="Trebuchet MS"/>
          <w:color w:val="002060"/>
          <w:sz w:val="19"/>
          <w:szCs w:val="19"/>
        </w:rPr>
        <w:t xml:space="preserve"> minimo del 10% da raggiungere al 2020, ma in questo dato viene considerato anche il santuario marino Pelagos per i mammiferi marini, istituito nel 1991 per la parte italiana di circa 25.573 km2 (interessando aree marine delle regioni Liguria, Toscana e Sardegna) con un’estensione internazionale nel 1999 ad aree marine della Francia e del Principato di Monaco, la cui efficacia ai fini di tutela è ancora molto incerta.</w:t>
      </w:r>
    </w:p>
    <w:p w14:paraId="0910F9CD" w14:textId="77777777" w:rsidR="0094606D" w:rsidRPr="00EA25B4" w:rsidRDefault="0094606D" w:rsidP="005A6934">
      <w:pPr>
        <w:spacing w:after="120"/>
        <w:jc w:val="both"/>
        <w:rPr>
          <w:rFonts w:ascii="Trebuchet MS" w:hAnsi="Trebuchet MS"/>
          <w:color w:val="002060"/>
          <w:sz w:val="19"/>
          <w:szCs w:val="19"/>
        </w:rPr>
      </w:pPr>
    </w:p>
    <w:p w14:paraId="6B4BD089" w14:textId="77777777" w:rsidR="008D1050" w:rsidRPr="00EA25B4" w:rsidRDefault="008D1050" w:rsidP="005A6934">
      <w:pPr>
        <w:spacing w:after="120"/>
        <w:jc w:val="both"/>
        <w:rPr>
          <w:rFonts w:ascii="Trebuchet MS" w:hAnsi="Trebuchet MS"/>
          <w:color w:val="002060"/>
          <w:sz w:val="19"/>
          <w:szCs w:val="19"/>
        </w:rPr>
      </w:pPr>
      <w:r w:rsidRPr="00EA25B4">
        <w:rPr>
          <w:rFonts w:ascii="Trebuchet MS" w:hAnsi="Trebuchet MS"/>
          <w:color w:val="002060"/>
          <w:sz w:val="19"/>
          <w:szCs w:val="19"/>
          <w:u w:val="single"/>
        </w:rPr>
        <w:t>Obiettivo 15 – Flora e fauna terrestre</w:t>
      </w:r>
    </w:p>
    <w:p w14:paraId="568C1845" w14:textId="77777777" w:rsidR="00EE45B6" w:rsidRPr="001D7A8C"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Rispetto alla scheda relativa al </w:t>
      </w:r>
      <w:r w:rsidR="00AF5386" w:rsidRPr="00EA25B4">
        <w:rPr>
          <w:rFonts w:ascii="Trebuchet MS" w:hAnsi="Trebuchet MS"/>
          <w:color w:val="002060"/>
          <w:sz w:val="19"/>
          <w:szCs w:val="19"/>
        </w:rPr>
        <w:t>Goal</w:t>
      </w:r>
      <w:r w:rsidRPr="00EA25B4">
        <w:rPr>
          <w:rFonts w:ascii="Trebuchet MS" w:hAnsi="Trebuchet MS"/>
          <w:color w:val="002060"/>
          <w:sz w:val="19"/>
          <w:szCs w:val="19"/>
        </w:rPr>
        <w:t xml:space="preserve"> 15 </w:t>
      </w:r>
      <w:r w:rsidRPr="00EA25B4">
        <w:rPr>
          <w:rFonts w:ascii="Trebuchet MS" w:hAnsi="Trebuchet MS"/>
          <w:i/>
          <w:color w:val="002060"/>
          <w:sz w:val="19"/>
          <w:szCs w:val="19"/>
        </w:rPr>
        <w:t>Flora e fauna terrestre</w:t>
      </w:r>
      <w:r w:rsidRPr="00EA25B4">
        <w:rPr>
          <w:rFonts w:ascii="Trebuchet MS" w:hAnsi="Trebuchet MS"/>
          <w:color w:val="002060"/>
          <w:sz w:val="19"/>
          <w:szCs w:val="19"/>
        </w:rPr>
        <w:t>, l’Alleanza ritiene di sol</w:t>
      </w:r>
      <w:r w:rsidR="001D7A8C">
        <w:rPr>
          <w:rFonts w:ascii="Trebuchet MS" w:hAnsi="Trebuchet MS"/>
          <w:color w:val="002060"/>
          <w:sz w:val="19"/>
          <w:szCs w:val="19"/>
        </w:rPr>
        <w:t xml:space="preserve">levare le seguenti osservazioni, indirizzate soprattutto alla critica delle scelte effettuate in sede di </w:t>
      </w:r>
      <w:r w:rsidR="001D7A8C">
        <w:rPr>
          <w:rFonts w:ascii="Trebuchet MS" w:hAnsi="Trebuchet MS"/>
          <w:i/>
          <w:color w:val="002060"/>
          <w:sz w:val="19"/>
          <w:szCs w:val="19"/>
        </w:rPr>
        <w:t>conclusioni</w:t>
      </w:r>
      <w:r w:rsidR="001D7A8C">
        <w:rPr>
          <w:rFonts w:ascii="Trebuchet MS" w:hAnsi="Trebuchet MS"/>
          <w:color w:val="002060"/>
          <w:sz w:val="19"/>
          <w:szCs w:val="19"/>
        </w:rPr>
        <w:t xml:space="preserve">, in particolare per l’attribuzione, decisamente ottimistica, di </w:t>
      </w:r>
      <w:r w:rsidR="001D7A8C">
        <w:rPr>
          <w:rFonts w:ascii="Trebuchet MS" w:hAnsi="Trebuchet MS"/>
          <w:i/>
          <w:color w:val="002060"/>
          <w:sz w:val="19"/>
          <w:szCs w:val="19"/>
        </w:rPr>
        <w:t>semafori verdi</w:t>
      </w:r>
      <w:r w:rsidR="001D7A8C">
        <w:rPr>
          <w:rFonts w:ascii="Trebuchet MS" w:hAnsi="Trebuchet MS"/>
          <w:color w:val="002060"/>
          <w:sz w:val="19"/>
          <w:szCs w:val="19"/>
        </w:rPr>
        <w:t xml:space="preserve"> anche laddove il quadro italiano – in parte anche da come emerge dal Rapporto stesso – impedirebbe una conclusione simile.</w:t>
      </w:r>
    </w:p>
    <w:p w14:paraId="578BFCAF" w14:textId="77777777" w:rsidR="00EE45B6" w:rsidRPr="00EA25B4"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Grazie all’indicatore IAEG-SDGs 15.1.1. (“aumento della quantità di superficie forestale come percentuale della superficie totale”), ben tre dei </w:t>
      </w:r>
      <w:r w:rsidRPr="00EA25B4">
        <w:rPr>
          <w:rFonts w:ascii="Trebuchet MS" w:hAnsi="Trebuchet MS"/>
          <w:b/>
          <w:color w:val="002060"/>
          <w:sz w:val="19"/>
          <w:szCs w:val="19"/>
        </w:rPr>
        <w:t>Target</w:t>
      </w:r>
      <w:r w:rsidRPr="00EA25B4">
        <w:rPr>
          <w:rFonts w:ascii="Trebuchet MS" w:hAnsi="Trebuchet MS"/>
          <w:color w:val="002060"/>
          <w:sz w:val="19"/>
          <w:szCs w:val="19"/>
        </w:rPr>
        <w:t xml:space="preserve"> del </w:t>
      </w:r>
      <w:r w:rsidR="00AF5386" w:rsidRPr="00EA25B4">
        <w:rPr>
          <w:rFonts w:ascii="Trebuchet MS" w:hAnsi="Trebuchet MS"/>
          <w:color w:val="002060"/>
          <w:sz w:val="19"/>
          <w:szCs w:val="19"/>
        </w:rPr>
        <w:t>Goal</w:t>
      </w:r>
      <w:r w:rsidRPr="00EA25B4">
        <w:rPr>
          <w:rFonts w:ascii="Trebuchet MS" w:hAnsi="Trebuchet MS"/>
          <w:color w:val="002060"/>
          <w:sz w:val="19"/>
          <w:szCs w:val="19"/>
        </w:rPr>
        <w:t xml:space="preserve"> 15 esaminati (</w:t>
      </w:r>
      <w:r w:rsidRPr="00EA25B4">
        <w:rPr>
          <w:rFonts w:ascii="Trebuchet MS" w:hAnsi="Trebuchet MS"/>
          <w:b/>
          <w:color w:val="002060"/>
          <w:sz w:val="19"/>
          <w:szCs w:val="19"/>
        </w:rPr>
        <w:t>15.1, 15.2, 15.4</w:t>
      </w:r>
      <w:r w:rsidRPr="00EA25B4">
        <w:rPr>
          <w:rFonts w:ascii="Trebuchet MS" w:hAnsi="Trebuchet MS"/>
          <w:color w:val="002060"/>
          <w:sz w:val="19"/>
          <w:szCs w:val="19"/>
        </w:rPr>
        <w:t>) guadagnano un semaforo verde nella valutazione realizzata dal Ministero. Questo indicatore, tuttavia, non corrisponde agli obiettivi delineati dai Target: emerge infatti la contraddizione tra essi e gli indici relativi al degrado del suolo (</w:t>
      </w:r>
      <w:r w:rsidRPr="00EA25B4">
        <w:rPr>
          <w:rFonts w:ascii="Trebuchet MS" w:hAnsi="Trebuchet MS"/>
          <w:b/>
          <w:color w:val="002060"/>
          <w:sz w:val="19"/>
          <w:szCs w:val="19"/>
        </w:rPr>
        <w:t>15.3</w:t>
      </w:r>
      <w:r w:rsidRPr="00EA25B4">
        <w:rPr>
          <w:rFonts w:ascii="Trebuchet MS" w:hAnsi="Trebuchet MS"/>
          <w:color w:val="002060"/>
          <w:sz w:val="19"/>
          <w:szCs w:val="19"/>
        </w:rPr>
        <w:t>) e alla perdita di biodiversità (</w:t>
      </w:r>
      <w:r w:rsidRPr="00EA25B4">
        <w:rPr>
          <w:rFonts w:ascii="Trebuchet MS" w:hAnsi="Trebuchet MS"/>
          <w:b/>
          <w:color w:val="002060"/>
          <w:sz w:val="19"/>
          <w:szCs w:val="19"/>
        </w:rPr>
        <w:t>15.5</w:t>
      </w:r>
      <w:r w:rsidRPr="00EA25B4">
        <w:rPr>
          <w:rFonts w:ascii="Trebuchet MS" w:hAnsi="Trebuchet MS"/>
          <w:color w:val="002060"/>
          <w:sz w:val="19"/>
          <w:szCs w:val="19"/>
        </w:rPr>
        <w:t>), per i quali in controtendenza viene assegnato un semaforo rosso.</w:t>
      </w:r>
    </w:p>
    <w:p w14:paraId="3069BBD0" w14:textId="77777777" w:rsidR="00EE45B6" w:rsidRPr="00EA25B4"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Nella stessa direzione va il commento di Enea, citato a pag. </w:t>
      </w:r>
      <w:r w:rsidR="004E5636" w:rsidRPr="00EA25B4">
        <w:rPr>
          <w:rFonts w:ascii="Trebuchet MS" w:hAnsi="Trebuchet MS"/>
          <w:color w:val="002060"/>
          <w:sz w:val="19"/>
          <w:szCs w:val="19"/>
        </w:rPr>
        <w:t>333 del Rapporto, in proposito a</w:t>
      </w:r>
      <w:r w:rsidRPr="00EA25B4">
        <w:rPr>
          <w:rFonts w:ascii="Trebuchet MS" w:hAnsi="Trebuchet MS"/>
          <w:color w:val="002060"/>
          <w:sz w:val="19"/>
          <w:szCs w:val="19"/>
        </w:rPr>
        <w:t>ll’indicatore IAEG – SDGs selezionato, laddove l’Ente sostiene, correttamente, che “</w:t>
      </w:r>
      <w:r w:rsidRPr="00EA25B4">
        <w:rPr>
          <w:rFonts w:ascii="Trebuchet MS" w:hAnsi="Trebuchet MS"/>
          <w:i/>
          <w:color w:val="002060"/>
          <w:sz w:val="19"/>
          <w:szCs w:val="19"/>
        </w:rPr>
        <w:t>si tratta di un indicatore con scarse potenzialità di dettaglio. Manca, infatti, la possibilità di una valutazione qualitativa delle formazioni forestali</w:t>
      </w:r>
      <w:r w:rsidRPr="00EA25B4">
        <w:rPr>
          <w:rFonts w:ascii="Trebuchet MS" w:hAnsi="Trebuchet MS"/>
          <w:color w:val="002060"/>
          <w:sz w:val="19"/>
          <w:szCs w:val="19"/>
        </w:rPr>
        <w:t>”.</w:t>
      </w:r>
    </w:p>
    <w:p w14:paraId="6356E62A" w14:textId="77777777" w:rsidR="00EE45B6" w:rsidRPr="00EA25B4"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Anche </w:t>
      </w:r>
      <w:r w:rsidR="00B10FCD" w:rsidRPr="00EA25B4">
        <w:rPr>
          <w:rFonts w:ascii="Trebuchet MS" w:hAnsi="Trebuchet MS"/>
          <w:color w:val="002060"/>
          <w:sz w:val="19"/>
          <w:szCs w:val="19"/>
        </w:rPr>
        <w:t xml:space="preserve">con riferimento alla </w:t>
      </w:r>
      <w:r w:rsidRPr="00EA25B4">
        <w:rPr>
          <w:rFonts w:ascii="Trebuchet MS" w:hAnsi="Trebuchet MS"/>
          <w:color w:val="002060"/>
          <w:sz w:val="19"/>
          <w:szCs w:val="19"/>
        </w:rPr>
        <w:t>gestione sostenibile delle foreste (</w:t>
      </w:r>
      <w:r w:rsidRPr="00EA25B4">
        <w:rPr>
          <w:rFonts w:ascii="Trebuchet MS" w:hAnsi="Trebuchet MS"/>
          <w:b/>
          <w:color w:val="002060"/>
          <w:sz w:val="19"/>
          <w:szCs w:val="19"/>
        </w:rPr>
        <w:t>Target 15.2</w:t>
      </w:r>
      <w:r w:rsidRPr="00EA25B4">
        <w:rPr>
          <w:rFonts w:ascii="Trebuchet MS" w:hAnsi="Trebuchet MS"/>
          <w:color w:val="002060"/>
          <w:sz w:val="19"/>
          <w:szCs w:val="19"/>
        </w:rPr>
        <w:t>) viene riportato il dato FAO (cfr.pag.338) secondo il quale il 17% delle foreste nazionali ha un piano di gestione, del quale, tuttavia, non è indicata la sostenibilità o la non sostenibilità.  Suscita perplessità, allo stato attuale, l’effettiva possibilità di raggiungere il Target di promozione gestione sostenibile foreste al 100% al 202</w:t>
      </w:r>
      <w:r w:rsidR="00B10FCD" w:rsidRPr="00EA25B4">
        <w:rPr>
          <w:rFonts w:ascii="Trebuchet MS" w:hAnsi="Trebuchet MS"/>
          <w:color w:val="002060"/>
          <w:sz w:val="19"/>
          <w:szCs w:val="19"/>
        </w:rPr>
        <w:t>0</w:t>
      </w:r>
      <w:r w:rsidR="00895CE3">
        <w:rPr>
          <w:rFonts w:ascii="Trebuchet MS" w:hAnsi="Trebuchet MS"/>
          <w:color w:val="002060"/>
          <w:sz w:val="19"/>
          <w:szCs w:val="19"/>
        </w:rPr>
        <w:t>.</w:t>
      </w:r>
    </w:p>
    <w:p w14:paraId="17C8BDAA" w14:textId="77777777" w:rsidR="00EE45B6" w:rsidRPr="00EA25B4"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Sul </w:t>
      </w:r>
      <w:r w:rsidR="00B10FCD" w:rsidRPr="00EA25B4">
        <w:rPr>
          <w:rFonts w:ascii="Trebuchet MS" w:hAnsi="Trebuchet MS"/>
          <w:b/>
          <w:color w:val="002060"/>
          <w:sz w:val="19"/>
          <w:szCs w:val="19"/>
        </w:rPr>
        <w:t>T</w:t>
      </w:r>
      <w:r w:rsidRPr="00EA25B4">
        <w:rPr>
          <w:rFonts w:ascii="Trebuchet MS" w:hAnsi="Trebuchet MS"/>
          <w:b/>
          <w:color w:val="002060"/>
          <w:sz w:val="19"/>
          <w:szCs w:val="19"/>
        </w:rPr>
        <w:t>arget 15.3</w:t>
      </w:r>
      <w:r w:rsidRPr="00EA25B4">
        <w:rPr>
          <w:rFonts w:ascii="Trebuchet MS" w:hAnsi="Trebuchet MS"/>
          <w:color w:val="002060"/>
          <w:sz w:val="19"/>
          <w:szCs w:val="19"/>
        </w:rPr>
        <w:t>, relativo alla desertificazione e degrado del suolo, riveste particolare importanza la realizzazione della cosiddetta LDN (</w:t>
      </w:r>
      <w:r w:rsidRPr="00EA25B4">
        <w:rPr>
          <w:rFonts w:ascii="Trebuchet MS" w:hAnsi="Trebuchet MS"/>
          <w:i/>
          <w:color w:val="002060"/>
          <w:sz w:val="19"/>
          <w:szCs w:val="19"/>
        </w:rPr>
        <w:t>Land Degradation Neutrality</w:t>
      </w:r>
      <w:r w:rsidRPr="00EA25B4">
        <w:rPr>
          <w:rFonts w:ascii="Trebuchet MS" w:hAnsi="Trebuchet MS"/>
          <w:color w:val="002060"/>
          <w:sz w:val="19"/>
          <w:szCs w:val="19"/>
        </w:rPr>
        <w:t xml:space="preserve">) al 2030. L’indicatore IAEG-SDGs pone come indice la </w:t>
      </w:r>
      <w:r w:rsidRPr="00EA25B4">
        <w:rPr>
          <w:rFonts w:ascii="Trebuchet MS" w:hAnsi="Trebuchet MS"/>
          <w:i/>
          <w:color w:val="002060"/>
          <w:sz w:val="19"/>
          <w:szCs w:val="19"/>
        </w:rPr>
        <w:t>proporzione di terreno degradato sul totale del territorio</w:t>
      </w:r>
      <w:r w:rsidRPr="00EA25B4">
        <w:rPr>
          <w:rFonts w:ascii="Trebuchet MS" w:hAnsi="Trebuchet MS"/>
          <w:color w:val="002060"/>
          <w:sz w:val="19"/>
          <w:szCs w:val="19"/>
        </w:rPr>
        <w:t xml:space="preserve">. Sarebbe interessante un’apertura al dibattito se anche il consumo di suolo, inteso già solo come impermeabilizzazione, debba essere contabilizzato nel </w:t>
      </w:r>
      <w:r w:rsidRPr="00EA25B4">
        <w:rPr>
          <w:rFonts w:ascii="Trebuchet MS" w:hAnsi="Trebuchet MS"/>
          <w:i/>
          <w:color w:val="002060"/>
          <w:sz w:val="19"/>
          <w:szCs w:val="19"/>
        </w:rPr>
        <w:t>degrado</w:t>
      </w:r>
      <w:r w:rsidRPr="00EA25B4">
        <w:rPr>
          <w:rFonts w:ascii="Trebuchet MS" w:hAnsi="Trebuchet MS"/>
          <w:color w:val="002060"/>
          <w:sz w:val="19"/>
          <w:szCs w:val="19"/>
        </w:rPr>
        <w:t>. Leggendone la definizione</w:t>
      </w:r>
      <w:r w:rsidRPr="00EA25B4">
        <w:rPr>
          <w:rFonts w:ascii="Trebuchet MS" w:hAnsi="Trebuchet MS"/>
          <w:color w:val="002060"/>
          <w:sz w:val="19"/>
          <w:szCs w:val="19"/>
          <w:vertAlign w:val="superscript"/>
        </w:rPr>
        <w:footnoteReference w:id="2"/>
      </w:r>
      <w:r w:rsidRPr="00EA25B4">
        <w:rPr>
          <w:rFonts w:ascii="Trebuchet MS" w:hAnsi="Trebuchet MS"/>
          <w:color w:val="002060"/>
          <w:sz w:val="19"/>
          <w:szCs w:val="19"/>
        </w:rPr>
        <w:t xml:space="preserve">,  sul piano scientifico </w:t>
      </w:r>
      <w:r w:rsidRPr="00EA25B4">
        <w:rPr>
          <w:rFonts w:ascii="Trebuchet MS" w:hAnsi="Trebuchet MS"/>
          <w:i/>
          <w:color w:val="002060"/>
          <w:sz w:val="19"/>
          <w:szCs w:val="19"/>
        </w:rPr>
        <w:t>parrebbe di sì</w:t>
      </w:r>
      <w:r w:rsidRPr="00EA25B4">
        <w:rPr>
          <w:rFonts w:ascii="Trebuchet MS" w:hAnsi="Trebuchet MS"/>
          <w:color w:val="002060"/>
          <w:sz w:val="19"/>
          <w:szCs w:val="19"/>
        </w:rPr>
        <w:t>. In tal caso, ci si dovrebbe adoperare per anticipare la scadenza dell’Obiettivo “consumo di suolo zero” proposto dall’UE dal 2050 al 2030, in maniera tale da soddisfare il Target 15.3.</w:t>
      </w:r>
    </w:p>
    <w:p w14:paraId="0B20E586" w14:textId="77777777" w:rsidR="00EE45B6" w:rsidRPr="00EA25B4"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lastRenderedPageBreak/>
        <w:t xml:space="preserve">Sul </w:t>
      </w:r>
      <w:r w:rsidRPr="00EA25B4">
        <w:rPr>
          <w:rFonts w:ascii="Trebuchet MS" w:hAnsi="Trebuchet MS"/>
          <w:b/>
          <w:color w:val="002060"/>
          <w:sz w:val="19"/>
          <w:szCs w:val="19"/>
        </w:rPr>
        <w:t>Target 15.6</w:t>
      </w:r>
      <w:r w:rsidRPr="00EA25B4">
        <w:rPr>
          <w:rFonts w:ascii="Trebuchet MS" w:hAnsi="Trebuchet MS"/>
          <w:color w:val="002060"/>
          <w:sz w:val="19"/>
          <w:szCs w:val="19"/>
        </w:rPr>
        <w:t xml:space="preserve">, valutando positivamente il nostro stato d’avanzamento, il Ministero ha operato una sostituzione di fatto del Target con l’indicatore IAEG-SDGs. Ma, per </w:t>
      </w:r>
      <w:r w:rsidRPr="00EA25B4">
        <w:rPr>
          <w:rFonts w:ascii="Trebuchet MS" w:hAnsi="Trebuchet MS"/>
          <w:i/>
          <w:color w:val="002060"/>
          <w:sz w:val="19"/>
          <w:szCs w:val="19"/>
        </w:rPr>
        <w:t>assicurare una ripartizione giusta ed equa dei benefici derivanti dalle risorse genetiche e promuovere l’accesso adeguato a tali risorse,</w:t>
      </w:r>
      <w:r w:rsidRPr="00EA25B4">
        <w:rPr>
          <w:rFonts w:ascii="Trebuchet MS" w:hAnsi="Trebuchet MS"/>
          <w:color w:val="002060"/>
          <w:sz w:val="19"/>
          <w:szCs w:val="19"/>
        </w:rPr>
        <w:t xml:space="preserve"> non basterà la mera adozione di un </w:t>
      </w:r>
      <w:r w:rsidRPr="00EA25B4">
        <w:rPr>
          <w:rFonts w:ascii="Trebuchet MS" w:hAnsi="Trebuchet MS"/>
          <w:i/>
          <w:color w:val="002060"/>
          <w:sz w:val="19"/>
          <w:szCs w:val="19"/>
        </w:rPr>
        <w:t>quadro di riferimento legislativo, amministrativo e politico per l'attuazione del protocollo di Nagoya</w:t>
      </w:r>
      <w:r w:rsidRPr="00EA25B4">
        <w:rPr>
          <w:rFonts w:ascii="Trebuchet MS" w:hAnsi="Trebuchet MS"/>
          <w:color w:val="002060"/>
          <w:sz w:val="19"/>
          <w:szCs w:val="19"/>
        </w:rPr>
        <w:t xml:space="preserve"> (IAEG 15.6.1): per darne effettività, sarà necessario metterlo in pratica, monitorarlo e verificarne i risultati. Allo stato attuale, nonostante la perdurante pendenza della ratifica del Protocollo di Nagoya, cui l’Italia ha aderito nel giugno 2011, il Rapporto assegna comunque al Target 15.6 un </w:t>
      </w:r>
      <w:r w:rsidRPr="00EA25B4">
        <w:rPr>
          <w:rFonts w:ascii="Trebuchet MS" w:hAnsi="Trebuchet MS"/>
          <w:i/>
          <w:color w:val="002060"/>
          <w:sz w:val="19"/>
          <w:szCs w:val="19"/>
        </w:rPr>
        <w:t>semaforo verde</w:t>
      </w:r>
      <w:r w:rsidRPr="00EA25B4">
        <w:rPr>
          <w:rFonts w:ascii="Trebuchet MS" w:hAnsi="Trebuchet MS"/>
          <w:color w:val="002060"/>
          <w:sz w:val="19"/>
          <w:szCs w:val="19"/>
        </w:rPr>
        <w:t xml:space="preserve">, ritenendo il Target raggiunto, anche alla luce di quanto riportato dal Ministero stesso, le risultanze non permetterebbero di assegnare un simile giudizio positivo. </w:t>
      </w:r>
    </w:p>
    <w:p w14:paraId="0811F317" w14:textId="77777777" w:rsidR="00EE45B6" w:rsidRDefault="00EE45B6" w:rsidP="005A6934">
      <w:pPr>
        <w:spacing w:after="120"/>
        <w:jc w:val="both"/>
        <w:rPr>
          <w:rFonts w:ascii="Trebuchet MS" w:hAnsi="Trebuchet MS"/>
          <w:color w:val="002060"/>
          <w:sz w:val="19"/>
          <w:szCs w:val="19"/>
        </w:rPr>
      </w:pPr>
    </w:p>
    <w:p w14:paraId="33A76FAE" w14:textId="77777777" w:rsidR="00127E61" w:rsidRPr="00EA25B4" w:rsidRDefault="00127E61" w:rsidP="005A6934">
      <w:pPr>
        <w:spacing w:after="120"/>
        <w:jc w:val="both"/>
        <w:rPr>
          <w:rFonts w:ascii="Trebuchet MS" w:hAnsi="Trebuchet MS"/>
          <w:color w:val="002060"/>
          <w:sz w:val="19"/>
          <w:szCs w:val="19"/>
        </w:rPr>
      </w:pPr>
    </w:p>
    <w:p w14:paraId="39743423" w14:textId="77777777" w:rsidR="008D1050" w:rsidRPr="00EA25B4" w:rsidRDefault="008D1050" w:rsidP="005A6934">
      <w:pPr>
        <w:spacing w:after="120"/>
        <w:jc w:val="both"/>
        <w:rPr>
          <w:rFonts w:ascii="Trebuchet MS" w:hAnsi="Trebuchet MS"/>
          <w:color w:val="002060"/>
          <w:sz w:val="19"/>
          <w:szCs w:val="19"/>
        </w:rPr>
      </w:pPr>
      <w:r w:rsidRPr="00EA25B4">
        <w:rPr>
          <w:rFonts w:ascii="Trebuchet MS" w:hAnsi="Trebuchet MS"/>
          <w:color w:val="002060"/>
          <w:sz w:val="19"/>
          <w:szCs w:val="19"/>
          <w:u w:val="single"/>
        </w:rPr>
        <w:t>Obiettivo 16 – Pace, giustizia e istituzioni solide</w:t>
      </w:r>
    </w:p>
    <w:p w14:paraId="3A00F8F5" w14:textId="77777777" w:rsidR="00EE45B6" w:rsidRPr="00EA25B4"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t>In considerazione di quanto prodotto dal gruppo di lavoro per il primo Rapporto ASviS 2016, si propone di proseguire individuando una chiave di lettura specifica per lo sviluppo dei futuri contributi, che possa da un lato tener conto dei molteplici e diversi as</w:t>
      </w:r>
      <w:r w:rsidR="00E8633F" w:rsidRPr="00EA25B4">
        <w:rPr>
          <w:rFonts w:ascii="Trebuchet MS" w:hAnsi="Trebuchet MS"/>
          <w:color w:val="002060"/>
          <w:sz w:val="19"/>
          <w:szCs w:val="19"/>
        </w:rPr>
        <w:t xml:space="preserve">petti riguardanti l'Obiettivo </w:t>
      </w:r>
      <w:r w:rsidRPr="00EA25B4">
        <w:rPr>
          <w:rFonts w:ascii="Trebuchet MS" w:hAnsi="Trebuchet MS"/>
          <w:color w:val="002060"/>
          <w:sz w:val="19"/>
          <w:szCs w:val="19"/>
        </w:rPr>
        <w:t xml:space="preserve">16, ma dall'altro esplicitare un </w:t>
      </w:r>
      <w:r w:rsidRPr="00EA25B4">
        <w:rPr>
          <w:rFonts w:ascii="Trebuchet MS" w:hAnsi="Trebuchet MS"/>
          <w:i/>
          <w:color w:val="002060"/>
          <w:sz w:val="19"/>
          <w:szCs w:val="19"/>
        </w:rPr>
        <w:t xml:space="preserve">fil rouge </w:t>
      </w:r>
      <w:r w:rsidRPr="00EA25B4">
        <w:rPr>
          <w:rFonts w:ascii="Trebuchet MS" w:hAnsi="Trebuchet MS"/>
          <w:color w:val="002060"/>
          <w:sz w:val="19"/>
          <w:szCs w:val="19"/>
        </w:rPr>
        <w:t xml:space="preserve">comune per l'approfondimento degli stessi, tenendo conto delle indicazioni contenute nel documento prodotto dal Ministero dell'Ambiente. </w:t>
      </w:r>
    </w:p>
    <w:p w14:paraId="525BAB77" w14:textId="77777777" w:rsidR="00EE45B6" w:rsidRPr="00EA25B4"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Riteniamo che un'utile e interessante chiave interpretativa sia legata agli aspetti di accesso e utilizzo dell'informazione. L’innovazione digitale esige anche politiche dell’informazione pubblica che abilitino un maggior grado partecipazione sociale. L’argomento dell’apertura dei dati in rete, provenienti prevalentemente dalle pubbliche amministrazioni, al fine di migliorare i servizi ai cittadini, il monitoraggio dell’azione pubblica, la gestione del denaro secondo un’etica della res pubblica, è di palese rilievo in quanto in grado di ricondursi a tutte le macro categorie individuate dal Gruppo di lavoro e proposte per il rapporto ASVIS 2016, come oggetto di indagine e monitoraggio per il </w:t>
      </w:r>
      <w:r w:rsidR="00AF5386" w:rsidRPr="00EA25B4">
        <w:rPr>
          <w:rFonts w:ascii="Trebuchet MS" w:hAnsi="Trebuchet MS"/>
          <w:color w:val="002060"/>
          <w:sz w:val="19"/>
          <w:szCs w:val="19"/>
        </w:rPr>
        <w:t>Goal</w:t>
      </w:r>
      <w:r w:rsidRPr="00EA25B4">
        <w:rPr>
          <w:rFonts w:ascii="Trebuchet MS" w:hAnsi="Trebuchet MS"/>
          <w:color w:val="002060"/>
          <w:sz w:val="19"/>
          <w:szCs w:val="19"/>
        </w:rPr>
        <w:t xml:space="preserve"> 16: (a) corruzione, giustizia e terrorismo; (b) efficacia, </w:t>
      </w:r>
      <w:r w:rsidRPr="00EA25B4">
        <w:rPr>
          <w:rFonts w:ascii="Trebuchet MS" w:hAnsi="Trebuchet MS"/>
          <w:i/>
          <w:color w:val="002060"/>
          <w:sz w:val="19"/>
          <w:szCs w:val="19"/>
        </w:rPr>
        <w:t>accountability</w:t>
      </w:r>
      <w:r w:rsidRPr="00EA25B4">
        <w:rPr>
          <w:rFonts w:ascii="Trebuchet MS" w:hAnsi="Trebuchet MS"/>
          <w:color w:val="002060"/>
          <w:sz w:val="19"/>
          <w:szCs w:val="19"/>
        </w:rPr>
        <w:t xml:space="preserve"> e trasparenza delle istituzioni; (c) partecipazione ai processi decisionali.</w:t>
      </w:r>
    </w:p>
    <w:p w14:paraId="21CDD39E" w14:textId="77777777" w:rsidR="00B10FCD" w:rsidRPr="00EA25B4"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Il lavoro di ricognizione realizzato dal Ministero con il documento qui in esame ha evidenziato, nel caso del </w:t>
      </w:r>
      <w:r w:rsidR="00AF5386" w:rsidRPr="00EA25B4">
        <w:rPr>
          <w:rFonts w:ascii="Trebuchet MS" w:hAnsi="Trebuchet MS"/>
          <w:color w:val="002060"/>
          <w:sz w:val="19"/>
          <w:szCs w:val="19"/>
        </w:rPr>
        <w:t>Goal</w:t>
      </w:r>
      <w:r w:rsidRPr="00EA25B4">
        <w:rPr>
          <w:rFonts w:ascii="Trebuchet MS" w:hAnsi="Trebuchet MS"/>
          <w:color w:val="002060"/>
          <w:sz w:val="19"/>
          <w:szCs w:val="19"/>
        </w:rPr>
        <w:t xml:space="preserve"> 16, una particolare carenza di dati e di indicatori di origine pubblica. In particolare è stato rilevato come: a) gli indicatori IAEG non misurino la complessità dei Target, b) gli indicatori non rispecchino necessariamente gli indicatori scelti da ISTAT per la definizione del Framework nazionale di indicatori e c) l’identificazione degli indicatori sia parte essa stessa del delicato processo di generazione del consenso e di costruzione di </w:t>
      </w:r>
      <w:r w:rsidRPr="00EA25B4">
        <w:rPr>
          <w:rFonts w:ascii="Trebuchet MS" w:hAnsi="Trebuchet MS"/>
          <w:i/>
          <w:color w:val="002060"/>
          <w:sz w:val="19"/>
          <w:szCs w:val="19"/>
        </w:rPr>
        <w:t>awareness</w:t>
      </w:r>
      <w:r w:rsidRPr="00EA25B4">
        <w:rPr>
          <w:rFonts w:ascii="Trebuchet MS" w:hAnsi="Trebuchet MS"/>
          <w:color w:val="002060"/>
          <w:sz w:val="19"/>
          <w:szCs w:val="19"/>
        </w:rPr>
        <w:t xml:space="preserve"> attorno alle tematiche di sviluppo sostenibile.</w:t>
      </w:r>
    </w:p>
    <w:p w14:paraId="703C10A3" w14:textId="77777777" w:rsidR="00B10FCD" w:rsidRPr="00EA25B4"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Per quanto riguarda il </w:t>
      </w:r>
      <w:r w:rsidRPr="00EA25B4">
        <w:rPr>
          <w:rFonts w:ascii="Trebuchet MS" w:hAnsi="Trebuchet MS"/>
          <w:b/>
          <w:color w:val="002060"/>
          <w:sz w:val="19"/>
          <w:szCs w:val="19"/>
        </w:rPr>
        <w:t>Target 16.1</w:t>
      </w:r>
      <w:r w:rsidRPr="00EA25B4">
        <w:rPr>
          <w:rFonts w:ascii="Trebuchet MS" w:hAnsi="Trebuchet MS"/>
          <w:color w:val="002060"/>
          <w:sz w:val="19"/>
          <w:szCs w:val="19"/>
        </w:rPr>
        <w:t>, appare a prima vista riduttivo associare all’idea di violenza e di rischi</w:t>
      </w:r>
      <w:r w:rsidR="00E8633F" w:rsidRPr="00EA25B4">
        <w:rPr>
          <w:rFonts w:ascii="Trebuchet MS" w:hAnsi="Trebuchet MS"/>
          <w:color w:val="002060"/>
          <w:sz w:val="19"/>
          <w:szCs w:val="19"/>
        </w:rPr>
        <w:t>o il solo tema della sicurezza.</w:t>
      </w:r>
    </w:p>
    <w:p w14:paraId="4B573EEA" w14:textId="77777777" w:rsidR="00BC1246" w:rsidRPr="00EA25B4"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Il </w:t>
      </w:r>
      <w:r w:rsidRPr="00EA25B4">
        <w:rPr>
          <w:rFonts w:ascii="Trebuchet MS" w:hAnsi="Trebuchet MS"/>
          <w:b/>
          <w:color w:val="002060"/>
          <w:sz w:val="19"/>
          <w:szCs w:val="19"/>
        </w:rPr>
        <w:t>Target 16.4</w:t>
      </w:r>
      <w:r w:rsidRPr="00EA25B4">
        <w:rPr>
          <w:rFonts w:ascii="Trebuchet MS" w:hAnsi="Trebuchet MS"/>
          <w:color w:val="002060"/>
          <w:sz w:val="19"/>
          <w:szCs w:val="19"/>
        </w:rPr>
        <w:t>, invece, riguarda la necessità di evitare che il controllo del funzionamento della società possa essere esercitato dal di fuori, attraverso l’introduzione nel paese di fondi e di armi da parte di gruppi esterni che operano in regime di illegalità. Il traffico d’armi e il riciclaggio sono temi presenti nel nostro paese, ma si inseriscono in una più ampia riflessione sulla legalità e sulla corruzione. In questo caso, quindi, il Target è indubbiamente coerente con l’azione nazionale di contrasto alle mafie e all’azione di gruppi terroristici, ma si propone di accorparlo con il successivo 16.5, di grande attualità e rilevanza per il nostro paese.</w:t>
      </w:r>
    </w:p>
    <w:p w14:paraId="6D158107" w14:textId="77777777" w:rsidR="00EE45B6"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Per quanto riguarda </w:t>
      </w:r>
      <w:r w:rsidR="00B10FCD" w:rsidRPr="00EA25B4">
        <w:rPr>
          <w:rFonts w:ascii="Trebuchet MS" w:hAnsi="Trebuchet MS"/>
          <w:color w:val="002060"/>
          <w:sz w:val="19"/>
          <w:szCs w:val="19"/>
        </w:rPr>
        <w:t xml:space="preserve">i </w:t>
      </w:r>
      <w:r w:rsidR="00B10FCD" w:rsidRPr="00EA25B4">
        <w:rPr>
          <w:rFonts w:ascii="Trebuchet MS" w:hAnsi="Trebuchet MS"/>
          <w:b/>
          <w:color w:val="002060"/>
          <w:sz w:val="19"/>
          <w:szCs w:val="19"/>
        </w:rPr>
        <w:t xml:space="preserve">Target </w:t>
      </w:r>
      <w:r w:rsidRPr="00EA25B4">
        <w:rPr>
          <w:rFonts w:ascii="Trebuchet MS" w:hAnsi="Trebuchet MS"/>
          <w:b/>
          <w:color w:val="002060"/>
          <w:sz w:val="19"/>
          <w:szCs w:val="19"/>
        </w:rPr>
        <w:t>16.5, 16.6 e 16.7</w:t>
      </w:r>
      <w:r w:rsidRPr="00EA25B4">
        <w:rPr>
          <w:rFonts w:ascii="Trebuchet MS" w:hAnsi="Trebuchet MS"/>
          <w:color w:val="002060"/>
          <w:sz w:val="19"/>
          <w:szCs w:val="19"/>
        </w:rPr>
        <w:t xml:space="preserve">, il gruppo di lavoro del Ministero per l’Ambiente riconosce l’assenza di </w:t>
      </w:r>
      <w:r w:rsidR="00B10FCD" w:rsidRPr="00EA25B4">
        <w:rPr>
          <w:rFonts w:ascii="Trebuchet MS" w:hAnsi="Trebuchet MS"/>
          <w:color w:val="002060"/>
          <w:sz w:val="19"/>
          <w:szCs w:val="19"/>
        </w:rPr>
        <w:t>indicatori ad oggi disponibili.</w:t>
      </w:r>
      <w:r w:rsidR="00BC1246" w:rsidRPr="00EA25B4">
        <w:rPr>
          <w:rFonts w:ascii="Trebuchet MS" w:hAnsi="Trebuchet MS"/>
          <w:color w:val="002060"/>
          <w:sz w:val="19"/>
          <w:szCs w:val="19"/>
        </w:rPr>
        <w:t xml:space="preserve"> </w:t>
      </w:r>
      <w:r w:rsidRPr="00EA25B4">
        <w:rPr>
          <w:rFonts w:ascii="Trebuchet MS" w:hAnsi="Trebuchet MS"/>
          <w:color w:val="002060"/>
          <w:sz w:val="19"/>
          <w:szCs w:val="19"/>
        </w:rPr>
        <w:t xml:space="preserve">Vale la pena segnalare che esistono alcuni enti no profit e di ricerca a livello nazionale ed internazionale che raccolgono dati, elaborano indici ed effettuano in alcuni casi analisi di </w:t>
      </w:r>
      <w:r w:rsidRPr="00EA25B4">
        <w:rPr>
          <w:rFonts w:ascii="Trebuchet MS" w:hAnsi="Trebuchet MS"/>
          <w:i/>
          <w:color w:val="002060"/>
          <w:sz w:val="19"/>
          <w:szCs w:val="19"/>
        </w:rPr>
        <w:t>benchmark</w:t>
      </w:r>
      <w:r w:rsidRPr="00EA25B4">
        <w:rPr>
          <w:rFonts w:ascii="Trebuchet MS" w:hAnsi="Trebuchet MS"/>
          <w:color w:val="002060"/>
          <w:sz w:val="19"/>
          <w:szCs w:val="19"/>
        </w:rPr>
        <w:t xml:space="preserve">. I dati raccolti da enti come Save the Children, Amnesty International, Caritas possono essere utilizzati a supporto di studi e ricerche </w:t>
      </w:r>
      <w:r w:rsidRPr="00EA25B4">
        <w:rPr>
          <w:rFonts w:ascii="Trebuchet MS" w:hAnsi="Trebuchet MS"/>
          <w:i/>
          <w:color w:val="002060"/>
          <w:sz w:val="19"/>
          <w:szCs w:val="19"/>
        </w:rPr>
        <w:t>ad hoc</w:t>
      </w:r>
      <w:r w:rsidRPr="00EA25B4">
        <w:rPr>
          <w:rFonts w:ascii="Trebuchet MS" w:hAnsi="Trebuchet MS"/>
          <w:color w:val="002060"/>
          <w:sz w:val="19"/>
          <w:szCs w:val="19"/>
        </w:rPr>
        <w:t xml:space="preserve">. Libera ed altre organizzazioni fanno un attento lavoro di monitoraggio, ricerca e </w:t>
      </w:r>
      <w:r w:rsidRPr="00EA25B4">
        <w:rPr>
          <w:rFonts w:ascii="Trebuchet MS" w:hAnsi="Trebuchet MS"/>
          <w:i/>
          <w:color w:val="002060"/>
          <w:sz w:val="19"/>
          <w:szCs w:val="19"/>
        </w:rPr>
        <w:t>advocacy</w:t>
      </w:r>
      <w:r w:rsidRPr="00EA25B4">
        <w:rPr>
          <w:rFonts w:ascii="Trebuchet MS" w:hAnsi="Trebuchet MS"/>
          <w:color w:val="002060"/>
          <w:sz w:val="19"/>
          <w:szCs w:val="19"/>
        </w:rPr>
        <w:t xml:space="preserve"> relativamente alle mafie; riguardo alla governance delle imprese e al ruolo delle donne si segnala il lavoro di network internazionali di diversa natura (d</w:t>
      </w:r>
      <w:r w:rsidR="00BD21E5">
        <w:rPr>
          <w:rFonts w:ascii="Trebuchet MS" w:hAnsi="Trebuchet MS"/>
          <w:color w:val="002060"/>
          <w:sz w:val="19"/>
          <w:szCs w:val="19"/>
        </w:rPr>
        <w:t>all’OCSE a “ready for board”).</w:t>
      </w:r>
    </w:p>
    <w:p w14:paraId="6D03EA91" w14:textId="77777777" w:rsidR="00BD21E5" w:rsidRDefault="00BD21E5" w:rsidP="005A6934">
      <w:pPr>
        <w:spacing w:after="120"/>
        <w:jc w:val="both"/>
        <w:rPr>
          <w:rFonts w:ascii="Trebuchet MS" w:hAnsi="Trebuchet MS"/>
          <w:color w:val="002060"/>
          <w:sz w:val="19"/>
          <w:szCs w:val="19"/>
        </w:rPr>
      </w:pPr>
    </w:p>
    <w:p w14:paraId="4A4AB4C9" w14:textId="77777777" w:rsidR="008D1050" w:rsidRPr="00EA25B4" w:rsidRDefault="008D1050" w:rsidP="005A6934">
      <w:pPr>
        <w:spacing w:after="120"/>
        <w:jc w:val="both"/>
        <w:rPr>
          <w:rFonts w:ascii="Trebuchet MS" w:hAnsi="Trebuchet MS"/>
          <w:color w:val="002060"/>
          <w:sz w:val="19"/>
          <w:szCs w:val="19"/>
        </w:rPr>
      </w:pPr>
      <w:r w:rsidRPr="00EA25B4">
        <w:rPr>
          <w:rFonts w:ascii="Trebuchet MS" w:hAnsi="Trebuchet MS"/>
          <w:color w:val="002060"/>
          <w:sz w:val="19"/>
          <w:szCs w:val="19"/>
          <w:u w:val="single"/>
        </w:rPr>
        <w:t>Obiettivo 17 – Partnership per gli Obiettivi</w:t>
      </w:r>
    </w:p>
    <w:p w14:paraId="2F066374" w14:textId="77777777" w:rsidR="00EE45B6" w:rsidRPr="00EA25B4"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lastRenderedPageBreak/>
        <w:t xml:space="preserve">Il Gruppo di Lavoro ASviS operante sul </w:t>
      </w:r>
      <w:r w:rsidR="00AF5386" w:rsidRPr="00EA25B4">
        <w:rPr>
          <w:rFonts w:ascii="Trebuchet MS" w:hAnsi="Trebuchet MS"/>
          <w:color w:val="002060"/>
          <w:sz w:val="19"/>
          <w:szCs w:val="19"/>
        </w:rPr>
        <w:t>Goal</w:t>
      </w:r>
      <w:r w:rsidRPr="00EA25B4">
        <w:rPr>
          <w:rFonts w:ascii="Trebuchet MS" w:hAnsi="Trebuchet MS"/>
          <w:color w:val="002060"/>
          <w:sz w:val="19"/>
          <w:szCs w:val="19"/>
        </w:rPr>
        <w:t xml:space="preserve"> 17 aveva incontrato i referenti </w:t>
      </w:r>
      <w:r w:rsidR="004A582E" w:rsidRPr="00EA25B4">
        <w:rPr>
          <w:rFonts w:ascii="Trebuchet MS" w:hAnsi="Trebuchet MS"/>
          <w:color w:val="002060"/>
          <w:sz w:val="19"/>
          <w:szCs w:val="19"/>
        </w:rPr>
        <w:t>MATTM</w:t>
      </w:r>
      <w:r w:rsidRPr="00EA25B4">
        <w:rPr>
          <w:rFonts w:ascii="Trebuchet MS" w:hAnsi="Trebuchet MS"/>
          <w:color w:val="002060"/>
          <w:sz w:val="19"/>
          <w:szCs w:val="19"/>
        </w:rPr>
        <w:t>/SOGID lo scorso giugno ed erano state evidenziate, durante l’incontro, le diverse criticità che il lavoro di analisi sulla posizione italiana rispetto ai Target avrebbe comportato.</w:t>
      </w:r>
      <w:r w:rsidR="002104F5">
        <w:rPr>
          <w:rFonts w:ascii="Trebuchet MS" w:hAnsi="Trebuchet MS"/>
          <w:color w:val="002060"/>
          <w:sz w:val="19"/>
          <w:szCs w:val="19"/>
        </w:rPr>
        <w:t xml:space="preserve"> </w:t>
      </w:r>
      <w:r w:rsidRPr="00EA25B4">
        <w:rPr>
          <w:rFonts w:ascii="Trebuchet MS" w:hAnsi="Trebuchet MS"/>
          <w:color w:val="002060"/>
          <w:sz w:val="19"/>
          <w:szCs w:val="19"/>
        </w:rPr>
        <w:t>La prima criticità riguarda</w:t>
      </w:r>
      <w:r w:rsidR="00B3737F" w:rsidRPr="00EA25B4">
        <w:rPr>
          <w:rFonts w:ascii="Trebuchet MS" w:hAnsi="Trebuchet MS"/>
          <w:color w:val="002060"/>
          <w:sz w:val="19"/>
          <w:szCs w:val="19"/>
        </w:rPr>
        <w:t>va</w:t>
      </w:r>
      <w:r w:rsidRPr="00EA25B4">
        <w:rPr>
          <w:rFonts w:ascii="Trebuchet MS" w:hAnsi="Trebuchet MS"/>
          <w:color w:val="002060"/>
          <w:sz w:val="19"/>
          <w:szCs w:val="19"/>
        </w:rPr>
        <w:t xml:space="preserve"> la trasversalità dell’Obiettivo 17, che si occupa dei “mezzi di attuazione” distribuiti in tutti gli SDG. </w:t>
      </w:r>
      <w:r w:rsidR="00B3737F" w:rsidRPr="00EA25B4">
        <w:rPr>
          <w:rFonts w:ascii="Trebuchet MS" w:hAnsi="Trebuchet MS"/>
          <w:color w:val="002060"/>
          <w:sz w:val="19"/>
          <w:szCs w:val="19"/>
        </w:rPr>
        <w:t>Era emersa</w:t>
      </w:r>
      <w:r w:rsidRPr="00EA25B4">
        <w:rPr>
          <w:rFonts w:ascii="Trebuchet MS" w:hAnsi="Trebuchet MS"/>
          <w:color w:val="002060"/>
          <w:sz w:val="19"/>
          <w:szCs w:val="19"/>
        </w:rPr>
        <w:t xml:space="preserve">, poi, </w:t>
      </w:r>
      <w:r w:rsidR="00B3737F" w:rsidRPr="00EA25B4">
        <w:rPr>
          <w:rFonts w:ascii="Trebuchet MS" w:hAnsi="Trebuchet MS"/>
          <w:color w:val="002060"/>
          <w:sz w:val="19"/>
          <w:szCs w:val="19"/>
        </w:rPr>
        <w:t>la rilevanza del</w:t>
      </w:r>
      <w:r w:rsidRPr="00EA25B4">
        <w:rPr>
          <w:rFonts w:ascii="Trebuchet MS" w:hAnsi="Trebuchet MS"/>
          <w:color w:val="002060"/>
          <w:sz w:val="19"/>
          <w:szCs w:val="19"/>
        </w:rPr>
        <w:t xml:space="preserve">la co-presenza, nell’Obiettivo 17, di una dimensione domestica e di una dimensione esterna, a seconda del Target considerato (es. mobilitazione delle risorse interne, di cui al </w:t>
      </w:r>
      <w:r w:rsidRPr="00EA25B4">
        <w:rPr>
          <w:rFonts w:ascii="Trebuchet MS" w:hAnsi="Trebuchet MS"/>
          <w:b/>
          <w:color w:val="002060"/>
          <w:sz w:val="19"/>
          <w:szCs w:val="19"/>
        </w:rPr>
        <w:t>Target 17.1</w:t>
      </w:r>
      <w:r w:rsidRPr="00EA25B4">
        <w:rPr>
          <w:rFonts w:ascii="Trebuchet MS" w:hAnsi="Trebuchet MS"/>
          <w:color w:val="002060"/>
          <w:sz w:val="19"/>
          <w:szCs w:val="19"/>
        </w:rPr>
        <w:t xml:space="preserve"> e cooperazione internazionale al </w:t>
      </w:r>
      <w:r w:rsidR="00B3737F" w:rsidRPr="00EA25B4">
        <w:rPr>
          <w:rFonts w:ascii="Trebuchet MS" w:hAnsi="Trebuchet MS"/>
          <w:b/>
          <w:color w:val="002060"/>
          <w:sz w:val="19"/>
          <w:szCs w:val="19"/>
        </w:rPr>
        <w:t>T</w:t>
      </w:r>
      <w:r w:rsidRPr="00EA25B4">
        <w:rPr>
          <w:rFonts w:ascii="Trebuchet MS" w:hAnsi="Trebuchet MS"/>
          <w:b/>
          <w:color w:val="002060"/>
          <w:sz w:val="19"/>
          <w:szCs w:val="19"/>
        </w:rPr>
        <w:t>arget 17.2</w:t>
      </w:r>
      <w:r w:rsidRPr="00EA25B4">
        <w:rPr>
          <w:rFonts w:ascii="Trebuchet MS" w:hAnsi="Trebuchet MS"/>
          <w:color w:val="002060"/>
          <w:sz w:val="19"/>
          <w:szCs w:val="19"/>
        </w:rPr>
        <w:t xml:space="preserve">); criticità rafforzata dal fatto che non sempre il Target risulta ugualmente significativo in un paese in via di sviluppo e in un paese donatore. </w:t>
      </w:r>
    </w:p>
    <w:p w14:paraId="23222A37" w14:textId="77777777" w:rsidR="00EE45B6" w:rsidRPr="00EA25B4"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t>Era stata rilevata, poi, l’incapacità degli indicatori IAEG-SDGs di descrivere la complessità dei Target, essendo talvolta significativi solo per una delle due dimensioni e spesso non reperibile per l’Italia.</w:t>
      </w:r>
    </w:p>
    <w:p w14:paraId="70BA47FC" w14:textId="77777777" w:rsidR="00EE45B6" w:rsidRPr="00EA25B4"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Il quadro che emerge dal Rapporto del Ministero sembra leggermente ottimistico e fondato più su aspettative positive, quale la potenziale realizzazione della nuova legge per la cooperazione allo sviluppo, che su dati significativi. </w:t>
      </w:r>
      <w:r w:rsidR="00B3737F" w:rsidRPr="00EA25B4">
        <w:rPr>
          <w:rFonts w:ascii="Trebuchet MS" w:hAnsi="Trebuchet MS"/>
          <w:color w:val="002060"/>
          <w:sz w:val="19"/>
          <w:szCs w:val="19"/>
        </w:rPr>
        <w:t xml:space="preserve">Talvolta, infatti, </w:t>
      </w:r>
      <w:r w:rsidRPr="00EA25B4">
        <w:rPr>
          <w:rFonts w:ascii="Trebuchet MS" w:hAnsi="Trebuchet MS"/>
          <w:color w:val="002060"/>
          <w:sz w:val="19"/>
          <w:szCs w:val="19"/>
        </w:rPr>
        <w:t xml:space="preserve">per esempio nel Target 17.5 sui regimi di promozione di investimenti a </w:t>
      </w:r>
      <w:r w:rsidR="00B3737F" w:rsidRPr="00EA25B4">
        <w:rPr>
          <w:rFonts w:ascii="Trebuchet MS" w:hAnsi="Trebuchet MS"/>
          <w:color w:val="002060"/>
          <w:sz w:val="19"/>
          <w:szCs w:val="19"/>
        </w:rPr>
        <w:t>favore dei paesi meno sviluppati</w:t>
      </w:r>
      <w:r w:rsidRPr="00EA25B4">
        <w:rPr>
          <w:rFonts w:ascii="Trebuchet MS" w:hAnsi="Trebuchet MS"/>
          <w:color w:val="002060"/>
          <w:sz w:val="19"/>
          <w:szCs w:val="19"/>
        </w:rPr>
        <w:t xml:space="preserve">, la sola tendenza al miglioramento di erogazione alle partnership pubblico-private giustifica l’attribuzione al Target del </w:t>
      </w:r>
      <w:r w:rsidRPr="00EA25B4">
        <w:rPr>
          <w:rFonts w:ascii="Trebuchet MS" w:hAnsi="Trebuchet MS"/>
          <w:i/>
          <w:color w:val="002060"/>
          <w:sz w:val="19"/>
          <w:szCs w:val="19"/>
        </w:rPr>
        <w:t>semaforo verde</w:t>
      </w:r>
      <w:r w:rsidRPr="00EA25B4">
        <w:rPr>
          <w:rFonts w:ascii="Trebuchet MS" w:hAnsi="Trebuchet MS"/>
          <w:color w:val="002060"/>
          <w:sz w:val="19"/>
          <w:szCs w:val="19"/>
        </w:rPr>
        <w:t>, nonostante il dato quantitativo (volume delle risorse APS destinate) sia poco più che minimale, oltre che volatile nel quinquennio esaminato.</w:t>
      </w:r>
    </w:p>
    <w:p w14:paraId="35687DBE" w14:textId="77777777" w:rsidR="00EE45B6" w:rsidRPr="00EA25B4"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t>Sui tre Target riguardanti la cooperazione scientifica e tecnologica (</w:t>
      </w:r>
      <w:r w:rsidR="00B3737F" w:rsidRPr="00EA25B4">
        <w:rPr>
          <w:rFonts w:ascii="Trebuchet MS" w:hAnsi="Trebuchet MS"/>
          <w:b/>
          <w:color w:val="002060"/>
          <w:sz w:val="19"/>
          <w:szCs w:val="19"/>
        </w:rPr>
        <w:t xml:space="preserve">Target </w:t>
      </w:r>
      <w:r w:rsidRPr="00EA25B4">
        <w:rPr>
          <w:rFonts w:ascii="Trebuchet MS" w:hAnsi="Trebuchet MS"/>
          <w:b/>
          <w:color w:val="002060"/>
          <w:sz w:val="19"/>
          <w:szCs w:val="19"/>
        </w:rPr>
        <w:t>17.6, 17.7, 17.8</w:t>
      </w:r>
      <w:r w:rsidRPr="00EA25B4">
        <w:rPr>
          <w:rFonts w:ascii="Trebuchet MS" w:hAnsi="Trebuchet MS"/>
          <w:color w:val="002060"/>
          <w:sz w:val="19"/>
          <w:szCs w:val="19"/>
        </w:rPr>
        <w:t>) emerge una valutazione contradditoria (2 “verdi” e 1 “rosso”), ma un allargamento delle fonti permetterebbe, forse, un quadro più completo, includendo tra esse, per esempio, i dati provenienti da Maeci, Miur, Cnr, Asi, Infn.</w:t>
      </w:r>
    </w:p>
    <w:p w14:paraId="04ACAAC8" w14:textId="77777777" w:rsidR="00EE45B6" w:rsidRPr="00EA25B4"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Per i </w:t>
      </w:r>
      <w:r w:rsidRPr="00EA25B4">
        <w:rPr>
          <w:rFonts w:ascii="Trebuchet MS" w:hAnsi="Trebuchet MS"/>
          <w:b/>
          <w:color w:val="002060"/>
          <w:sz w:val="19"/>
          <w:szCs w:val="19"/>
        </w:rPr>
        <w:t>Target 17.15 e 17.16</w:t>
      </w:r>
      <w:r w:rsidRPr="00EA25B4">
        <w:rPr>
          <w:rFonts w:ascii="Trebuchet MS" w:hAnsi="Trebuchet MS"/>
          <w:color w:val="002060"/>
          <w:sz w:val="19"/>
          <w:szCs w:val="19"/>
        </w:rPr>
        <w:t xml:space="preserve">, sul partenariato e la cooperazione allo sviluppo, è probabilmente mancata l’interlocuzione con il MAECI, per poter meglio sostanziare i due “verdi” assegnati. La scelta della osservanza alle raccomandazioni OCSE </w:t>
      </w:r>
      <w:r w:rsidRPr="00EA25B4">
        <w:rPr>
          <w:rFonts w:ascii="Trebuchet MS" w:hAnsi="Trebuchet MS"/>
          <w:i/>
          <w:color w:val="002060"/>
          <w:sz w:val="19"/>
          <w:szCs w:val="19"/>
        </w:rPr>
        <w:t>Peer Review</w:t>
      </w:r>
      <w:r w:rsidRPr="00EA25B4">
        <w:rPr>
          <w:rFonts w:ascii="Trebuchet MS" w:hAnsi="Trebuchet MS"/>
          <w:color w:val="002060"/>
          <w:sz w:val="19"/>
          <w:szCs w:val="19"/>
        </w:rPr>
        <w:t xml:space="preserve"> come elemento di valutazione del </w:t>
      </w:r>
      <w:r w:rsidRPr="00EA25B4">
        <w:rPr>
          <w:rFonts w:ascii="Trebuchet MS" w:hAnsi="Trebuchet MS"/>
          <w:i/>
          <w:color w:val="002060"/>
          <w:sz w:val="19"/>
          <w:szCs w:val="19"/>
        </w:rPr>
        <w:t>trend</w:t>
      </w:r>
      <w:r w:rsidRPr="00EA25B4">
        <w:rPr>
          <w:rFonts w:ascii="Trebuchet MS" w:hAnsi="Trebuchet MS"/>
          <w:color w:val="002060"/>
          <w:sz w:val="19"/>
          <w:szCs w:val="19"/>
        </w:rPr>
        <w:t xml:space="preserve">, o la sola esistenza del Marker Efficacia, senza dati sulla sua applicazione non illustrano con precisione la posizione dell’Italia sull’efficacia per lo sviluppo e le partnership. Sarà importante in futuro riferirsi ai Monitoring Reports, biennali, della </w:t>
      </w:r>
      <w:r w:rsidRPr="00EA25B4">
        <w:rPr>
          <w:rFonts w:ascii="Trebuchet MS" w:hAnsi="Trebuchet MS"/>
          <w:i/>
          <w:color w:val="002060"/>
          <w:sz w:val="19"/>
          <w:szCs w:val="19"/>
        </w:rPr>
        <w:t>Global Partnership for Effective Development</w:t>
      </w:r>
      <w:r w:rsidRPr="00EA25B4">
        <w:rPr>
          <w:rFonts w:ascii="Trebuchet MS" w:hAnsi="Trebuchet MS"/>
          <w:color w:val="002060"/>
          <w:sz w:val="19"/>
          <w:szCs w:val="19"/>
        </w:rPr>
        <w:t xml:space="preserve">, a partire da quello del 2016  </w:t>
      </w:r>
      <w:hyperlink r:id="rId9" w:anchor=".WHzNfX3pVVo" w:history="1">
        <w:proofErr w:type="spellStart"/>
        <w:r w:rsidRPr="00EA25B4">
          <w:rPr>
            <w:rStyle w:val="Collegamentoipertestuale"/>
            <w:rFonts w:ascii="Trebuchet MS" w:hAnsi="Trebuchet MS"/>
            <w:sz w:val="19"/>
            <w:szCs w:val="19"/>
          </w:rPr>
          <w:t>Making</w:t>
        </w:r>
        <w:proofErr w:type="spellEnd"/>
        <w:r w:rsidRPr="00EA25B4">
          <w:rPr>
            <w:rStyle w:val="Collegamentoipertestuale"/>
            <w:rFonts w:ascii="Trebuchet MS" w:hAnsi="Trebuchet MS"/>
            <w:sz w:val="19"/>
            <w:szCs w:val="19"/>
          </w:rPr>
          <w:t xml:space="preserve"> Development </w:t>
        </w:r>
        <w:proofErr w:type="spellStart"/>
        <w:r w:rsidRPr="00EA25B4">
          <w:rPr>
            <w:rStyle w:val="Collegamentoipertestuale"/>
            <w:rFonts w:ascii="Trebuchet MS" w:hAnsi="Trebuchet MS"/>
            <w:sz w:val="19"/>
            <w:szCs w:val="19"/>
          </w:rPr>
          <w:t>Cooperation</w:t>
        </w:r>
        <w:proofErr w:type="spellEnd"/>
        <w:r w:rsidRPr="00EA25B4">
          <w:rPr>
            <w:rStyle w:val="Collegamentoipertestuale"/>
            <w:rFonts w:ascii="Trebuchet MS" w:hAnsi="Trebuchet MS"/>
            <w:sz w:val="19"/>
            <w:szCs w:val="19"/>
          </w:rPr>
          <w:t xml:space="preserve"> More </w:t>
        </w:r>
        <w:proofErr w:type="spellStart"/>
        <w:r w:rsidRPr="00EA25B4">
          <w:rPr>
            <w:rStyle w:val="Collegamentoipertestuale"/>
            <w:rFonts w:ascii="Trebuchet MS" w:hAnsi="Trebuchet MS"/>
            <w:sz w:val="19"/>
            <w:szCs w:val="19"/>
          </w:rPr>
          <w:t>Effective</w:t>
        </w:r>
        <w:proofErr w:type="spellEnd"/>
      </w:hyperlink>
      <w:r w:rsidRPr="00EA25B4">
        <w:rPr>
          <w:rFonts w:ascii="Trebuchet MS" w:hAnsi="Trebuchet MS"/>
          <w:color w:val="002060"/>
          <w:sz w:val="19"/>
          <w:szCs w:val="19"/>
        </w:rPr>
        <w:t>. Nell’</w:t>
      </w:r>
      <w:r w:rsidRPr="00EA25B4">
        <w:rPr>
          <w:rFonts w:ascii="Trebuchet MS" w:hAnsi="Trebuchet MS"/>
          <w:i/>
          <w:color w:val="002060"/>
          <w:sz w:val="19"/>
          <w:szCs w:val="19"/>
        </w:rPr>
        <w:t>Annex</w:t>
      </w:r>
      <w:r w:rsidRPr="00EA25B4">
        <w:rPr>
          <w:rFonts w:ascii="Trebuchet MS" w:hAnsi="Trebuchet MS"/>
          <w:color w:val="002060"/>
          <w:sz w:val="19"/>
          <w:szCs w:val="19"/>
        </w:rPr>
        <w:t xml:space="preserve"> 2 del report sono presenti i dati relativi all’uso dei </w:t>
      </w:r>
      <w:r w:rsidRPr="00EA25B4">
        <w:rPr>
          <w:rFonts w:ascii="Trebuchet MS" w:hAnsi="Trebuchet MS"/>
          <w:i/>
          <w:color w:val="002060"/>
          <w:sz w:val="19"/>
          <w:szCs w:val="19"/>
        </w:rPr>
        <w:t>Country Framework Results</w:t>
      </w:r>
      <w:r w:rsidRPr="00EA25B4">
        <w:rPr>
          <w:rFonts w:ascii="Trebuchet MS" w:hAnsi="Trebuchet MS"/>
          <w:color w:val="002060"/>
          <w:sz w:val="19"/>
          <w:szCs w:val="19"/>
        </w:rPr>
        <w:t xml:space="preserve"> da parte dei </w:t>
      </w:r>
      <w:r w:rsidRPr="00EA25B4">
        <w:rPr>
          <w:rFonts w:ascii="Trebuchet MS" w:hAnsi="Trebuchet MS"/>
          <w:i/>
          <w:color w:val="002060"/>
          <w:sz w:val="19"/>
          <w:szCs w:val="19"/>
        </w:rPr>
        <w:t>donors</w:t>
      </w:r>
      <w:r w:rsidRPr="00EA25B4">
        <w:rPr>
          <w:rFonts w:ascii="Trebuchet MS" w:hAnsi="Trebuchet MS"/>
          <w:color w:val="002060"/>
          <w:sz w:val="19"/>
          <w:szCs w:val="19"/>
        </w:rPr>
        <w:t>, come richiesto dall’indicatore IAEG-SDGs selezionato per questi Target.</w:t>
      </w:r>
    </w:p>
    <w:p w14:paraId="6F207C71" w14:textId="77777777" w:rsidR="00E701FB" w:rsidRPr="00EA25B4"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La misurazione del raggiungimento di diversi </w:t>
      </w:r>
      <w:r w:rsidR="00554278" w:rsidRPr="00EA25B4">
        <w:rPr>
          <w:rFonts w:ascii="Trebuchet MS" w:hAnsi="Trebuchet MS"/>
          <w:color w:val="002060"/>
          <w:sz w:val="19"/>
          <w:szCs w:val="19"/>
        </w:rPr>
        <w:t>T</w:t>
      </w:r>
      <w:r w:rsidRPr="00EA25B4">
        <w:rPr>
          <w:rFonts w:ascii="Trebuchet MS" w:hAnsi="Trebuchet MS"/>
          <w:color w:val="002060"/>
          <w:sz w:val="19"/>
          <w:szCs w:val="19"/>
        </w:rPr>
        <w:t xml:space="preserve">arget dell’Obiettivo 17 sarà certamente migliorato dal futuro uso del </w:t>
      </w:r>
      <w:r w:rsidRPr="00EA25B4">
        <w:rPr>
          <w:rFonts w:ascii="Trebuchet MS" w:hAnsi="Trebuchet MS"/>
          <w:i/>
          <w:color w:val="002060"/>
          <w:sz w:val="19"/>
          <w:szCs w:val="19"/>
        </w:rPr>
        <w:t>Total Official Support for Sustainable Development</w:t>
      </w:r>
      <w:r w:rsidRPr="00EA25B4">
        <w:rPr>
          <w:rFonts w:ascii="Trebuchet MS" w:hAnsi="Trebuchet MS"/>
          <w:color w:val="002060"/>
          <w:sz w:val="19"/>
          <w:szCs w:val="19"/>
        </w:rPr>
        <w:t xml:space="preserve"> (TOSSD) che l’OCSE DAC vorrebbe finalizzare nel 2017 in modo da attivare la raccolta dei dati nel 2018 e presentarli all’HLPF del 2019. Con il TOSSD si mira ad avere uno strumento di misurazione per l’implementazione degli SDGs; esso è basato su due elementi: i flussi transnazionali tra paese donatore e paese partner e il finanziamento di </w:t>
      </w:r>
      <w:r w:rsidRPr="00EA25B4">
        <w:rPr>
          <w:rFonts w:ascii="Trebuchet MS" w:hAnsi="Trebuchet MS"/>
          <w:i/>
          <w:color w:val="002060"/>
          <w:sz w:val="19"/>
          <w:szCs w:val="19"/>
        </w:rPr>
        <w:t>enablers</w:t>
      </w:r>
      <w:r w:rsidRPr="00EA25B4">
        <w:rPr>
          <w:rFonts w:ascii="Trebuchet MS" w:hAnsi="Trebuchet MS"/>
          <w:color w:val="002060"/>
          <w:sz w:val="19"/>
          <w:szCs w:val="19"/>
        </w:rPr>
        <w:t xml:space="preserve"> di sviluppo e sfide globali (questi ultimi finora invisibili nelle statistiche globali sullo sviluppo o equivocamente contabilizzati come APS). Anche la misurazione degli IDE e delle rimesse potrebbe essere facilitata dall’uso del TOSSD, nella misura in cui sono effettivamente in supporto di SDGs.</w:t>
      </w:r>
    </w:p>
    <w:p w14:paraId="4C52E752" w14:textId="77777777" w:rsidR="005A15B4" w:rsidRPr="0000705D" w:rsidRDefault="00EE45B6" w:rsidP="005A6934">
      <w:pPr>
        <w:spacing w:after="120"/>
        <w:jc w:val="both"/>
        <w:rPr>
          <w:rFonts w:ascii="Trebuchet MS" w:hAnsi="Trebuchet MS"/>
          <w:color w:val="002060"/>
          <w:sz w:val="19"/>
          <w:szCs w:val="19"/>
        </w:rPr>
      </w:pPr>
      <w:r w:rsidRPr="00EA25B4">
        <w:rPr>
          <w:rFonts w:ascii="Trebuchet MS" w:hAnsi="Trebuchet MS"/>
          <w:color w:val="002060"/>
          <w:sz w:val="19"/>
          <w:szCs w:val="19"/>
        </w:rPr>
        <w:t xml:space="preserve">Va, infine, prestata attenzione al colore grigio assegnato al </w:t>
      </w:r>
      <w:r w:rsidRPr="00EA25B4">
        <w:rPr>
          <w:rFonts w:ascii="Trebuchet MS" w:hAnsi="Trebuchet MS"/>
          <w:b/>
          <w:color w:val="002060"/>
          <w:sz w:val="19"/>
          <w:szCs w:val="19"/>
        </w:rPr>
        <w:t>Target 17.14</w:t>
      </w:r>
      <w:r w:rsidRPr="00EA25B4">
        <w:rPr>
          <w:rFonts w:ascii="Trebuchet MS" w:hAnsi="Trebuchet MS"/>
          <w:color w:val="002060"/>
          <w:sz w:val="19"/>
          <w:szCs w:val="19"/>
        </w:rPr>
        <w:t xml:space="preserve"> (Migliorare la coerenza delle politiche per lo sviluppo sostenibile): è un Target cosiddetto di </w:t>
      </w:r>
      <w:r w:rsidRPr="00EA25B4">
        <w:rPr>
          <w:rFonts w:ascii="Trebuchet MS" w:hAnsi="Trebuchet MS"/>
          <w:i/>
          <w:color w:val="002060"/>
          <w:sz w:val="19"/>
          <w:szCs w:val="19"/>
        </w:rPr>
        <w:t>governance</w:t>
      </w:r>
      <w:r w:rsidRPr="00EA25B4">
        <w:rPr>
          <w:rFonts w:ascii="Trebuchet MS" w:hAnsi="Trebuchet MS"/>
          <w:color w:val="002060"/>
          <w:sz w:val="19"/>
          <w:szCs w:val="19"/>
        </w:rPr>
        <w:t xml:space="preserve"> e l’impossibilità di misurarlo è purtroppo eloquente circa il posizionamento italiano sugli SDGs.</w:t>
      </w:r>
    </w:p>
    <w:sectPr w:rsidR="005A15B4" w:rsidRPr="0000705D" w:rsidSect="00E701FB">
      <w:headerReference w:type="default" r:id="rId10"/>
      <w:footerReference w:type="default" r:id="rId11"/>
      <w:pgSz w:w="11900" w:h="16840"/>
      <w:pgMar w:top="2516" w:right="1134" w:bottom="1977" w:left="1134" w:header="568" w:footer="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F9E71" w14:textId="77777777" w:rsidR="000644E0" w:rsidRDefault="000644E0">
      <w:r>
        <w:separator/>
      </w:r>
    </w:p>
  </w:endnote>
  <w:endnote w:type="continuationSeparator" w:id="0">
    <w:p w14:paraId="3E92EB59" w14:textId="77777777" w:rsidR="000644E0" w:rsidRDefault="0006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Segoe UI">
    <w:altName w:val="Arial"/>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34445"/>
      <w:docPartObj>
        <w:docPartGallery w:val="Page Numbers (Bottom of Page)"/>
        <w:docPartUnique/>
      </w:docPartObj>
    </w:sdtPr>
    <w:sdtEndPr>
      <w:rPr>
        <w:noProof/>
      </w:rPr>
    </w:sdtEndPr>
    <w:sdtContent>
      <w:p w14:paraId="58A433CE" w14:textId="77777777" w:rsidR="002104F5" w:rsidRDefault="002104F5">
        <w:pPr>
          <w:pStyle w:val="Pidipagina"/>
          <w:jc w:val="center"/>
        </w:pPr>
        <w:r>
          <w:fldChar w:fldCharType="begin"/>
        </w:r>
        <w:r>
          <w:instrText xml:space="preserve"> PAGE   \* MERGEFORMAT </w:instrText>
        </w:r>
        <w:r>
          <w:fldChar w:fldCharType="separate"/>
        </w:r>
        <w:r w:rsidR="00C87150">
          <w:rPr>
            <w:noProof/>
          </w:rPr>
          <w:t>1</w:t>
        </w:r>
        <w:r>
          <w:rPr>
            <w:noProof/>
          </w:rPr>
          <w:fldChar w:fldCharType="end"/>
        </w:r>
      </w:p>
    </w:sdtContent>
  </w:sdt>
  <w:p w14:paraId="2E645C99" w14:textId="77777777" w:rsidR="00A91C0D" w:rsidRDefault="00D275C0" w:rsidP="00A91C0D">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120C3" w14:textId="77777777" w:rsidR="000644E0" w:rsidRDefault="000644E0">
      <w:r>
        <w:separator/>
      </w:r>
    </w:p>
  </w:footnote>
  <w:footnote w:type="continuationSeparator" w:id="0">
    <w:p w14:paraId="4BA4FFD3" w14:textId="77777777" w:rsidR="000644E0" w:rsidRDefault="000644E0">
      <w:r>
        <w:continuationSeparator/>
      </w:r>
    </w:p>
  </w:footnote>
  <w:footnote w:id="1">
    <w:p w14:paraId="4DBA95CB" w14:textId="77777777" w:rsidR="00EE45B6" w:rsidRDefault="00EE45B6" w:rsidP="00EE45B6">
      <w:pPr>
        <w:pStyle w:val="Testonotaapidipagina"/>
        <w:jc w:val="both"/>
      </w:pPr>
      <w:r>
        <w:rPr>
          <w:rStyle w:val="Rimandonotaapidipagina"/>
        </w:rPr>
        <w:footnoteRef/>
      </w:r>
      <w:r>
        <w:t>Il gruppo di lavoro ASviS sull’Obiettivo 10 ha proposto ad esempio per la salute: indicatore Eurostat sui bisogni insoddisfatti per problemi economici in base ai quintili di reddito o indicatori che tengano conto del peso del livello di istruzione sulla salute, come la tempestività dell’intervento chirurgico per frattura del collo del femore e il titolo di studio del paziente; per l’istruzione: indicatore ISTAT sul tasso di abbandono scolastico o quota NEET, per titolo di studio più elevato tra quello dei genitori.</w:t>
      </w:r>
    </w:p>
  </w:footnote>
  <w:footnote w:id="2">
    <w:p w14:paraId="0A115F8C" w14:textId="77777777" w:rsidR="00EE45B6" w:rsidRDefault="00EE45B6" w:rsidP="00EE45B6">
      <w:pPr>
        <w:pStyle w:val="Testonotaapidipagina"/>
      </w:pPr>
      <w:r>
        <w:rPr>
          <w:rStyle w:val="Rimandonotaapidipagina"/>
        </w:rPr>
        <w:footnoteRef/>
      </w:r>
      <w:r>
        <w:t xml:space="preserve"> </w:t>
      </w:r>
      <w:r w:rsidRPr="002B4F7A">
        <w:t>Definizione di LDN (Land Degradation Neutrality) della COP 12 dell’UNCCD 2015: “</w:t>
      </w:r>
      <w:r w:rsidRPr="002B4F7A">
        <w:rPr>
          <w:i/>
        </w:rPr>
        <w:t>stato in cui la quantità e qualità di terreno necessaria a supportare funzioni e servizi ecosistemici e a supportare la sicurezza alimentare rimane stabile o aumenta</w:t>
      </w:r>
      <w:r w:rsidRPr="002B4F7A">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70AC1" w14:textId="77777777" w:rsidR="00A91C0D" w:rsidRPr="00E701FB" w:rsidRDefault="008A5BF5" w:rsidP="001E0FAA">
    <w:pPr>
      <w:pStyle w:val="Intestazione"/>
      <w:tabs>
        <w:tab w:val="clear" w:pos="4986"/>
        <w:tab w:val="clear" w:pos="9972"/>
        <w:tab w:val="left" w:pos="9214"/>
        <w:tab w:val="right" w:pos="9632"/>
      </w:tabs>
      <w:ind w:left="709"/>
      <w:rPr>
        <w:rFonts w:ascii="Trebuchet MS" w:hAnsi="Trebuchet MS"/>
      </w:rPr>
    </w:pPr>
    <w:r>
      <w:rPr>
        <w:noProof/>
      </w:rPr>
      <w:drawing>
        <wp:anchor distT="0" distB="0" distL="114300" distR="114300" simplePos="0" relativeHeight="251658240" behindDoc="1" locked="0" layoutInCell="1" allowOverlap="1" wp14:anchorId="20899040" wp14:editId="586FA284">
          <wp:simplePos x="0" y="0"/>
          <wp:positionH relativeFrom="column">
            <wp:posOffset>-272415</wp:posOffset>
          </wp:positionH>
          <wp:positionV relativeFrom="paragraph">
            <wp:posOffset>1270</wp:posOffset>
          </wp:positionV>
          <wp:extent cx="1838325" cy="940341"/>
          <wp:effectExtent l="0" t="0" r="0" b="0"/>
          <wp:wrapNone/>
          <wp:docPr id="41" name="Immagine 41"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966" cy="950388"/>
                  </a:xfrm>
                  <a:prstGeom prst="rect">
                    <a:avLst/>
                  </a:prstGeom>
                  <a:noFill/>
                  <a:ln>
                    <a:noFill/>
                  </a:ln>
                </pic:spPr>
              </pic:pic>
            </a:graphicData>
          </a:graphic>
          <wp14:sizeRelH relativeFrom="page">
            <wp14:pctWidth>0</wp14:pctWidth>
          </wp14:sizeRelH>
          <wp14:sizeRelV relativeFrom="page">
            <wp14:pctHeight>0</wp14:pctHeight>
          </wp14:sizeRelV>
        </wp:anchor>
      </w:drawing>
    </w:r>
    <w:r w:rsidR="002D7170">
      <w:tab/>
    </w:r>
    <w:r w:rsidR="00E701FB">
      <w:tab/>
    </w:r>
    <w:r w:rsidR="007D31C5" w:rsidRPr="00E701FB">
      <w:rPr>
        <w:rFonts w:ascii="Trebuchet MS" w:hAnsi="Trebuchet MS"/>
      </w:rPr>
      <w:fldChar w:fldCharType="begin"/>
    </w:r>
    <w:r w:rsidR="007D31C5" w:rsidRPr="00E701FB">
      <w:rPr>
        <w:rFonts w:ascii="Trebuchet MS" w:hAnsi="Trebuchet MS"/>
      </w:rPr>
      <w:instrText>PAGE   \* MERGEFORMAT</w:instrText>
    </w:r>
    <w:r w:rsidR="007D31C5" w:rsidRPr="00E701FB">
      <w:rPr>
        <w:rFonts w:ascii="Trebuchet MS" w:hAnsi="Trebuchet MS"/>
      </w:rPr>
      <w:fldChar w:fldCharType="separate"/>
    </w:r>
    <w:r w:rsidR="00C87150">
      <w:rPr>
        <w:rFonts w:ascii="Trebuchet MS" w:hAnsi="Trebuchet MS"/>
        <w:noProof/>
      </w:rPr>
      <w:t>1</w:t>
    </w:r>
    <w:r w:rsidR="007D31C5" w:rsidRPr="00E701FB">
      <w:rPr>
        <w:rFonts w:ascii="Trebuchet MS" w:hAnsi="Trebuchet MS"/>
      </w:rPr>
      <w:fldChar w:fldCharType="end"/>
    </w:r>
  </w:p>
  <w:p w14:paraId="7D445C56" w14:textId="77777777" w:rsidR="002D7170" w:rsidRDefault="002D7170" w:rsidP="00A91C0D">
    <w:pPr>
      <w:pStyle w:val="Intestazione"/>
      <w:ind w:left="709"/>
    </w:pPr>
  </w:p>
  <w:p w14:paraId="4297415C" w14:textId="77777777" w:rsidR="002D7170" w:rsidRDefault="002D7170" w:rsidP="002D7170">
    <w:pPr>
      <w:pStyle w:val="Intestazione"/>
      <w:tabs>
        <w:tab w:val="clear" w:pos="4986"/>
        <w:tab w:val="center" w:pos="6379"/>
      </w:tabs>
    </w:pP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87311"/>
    <w:multiLevelType w:val="hybridMultilevel"/>
    <w:tmpl w:val="F09882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60E7DCA"/>
    <w:multiLevelType w:val="hybridMultilevel"/>
    <w:tmpl w:val="02445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A2F62A0"/>
    <w:multiLevelType w:val="hybridMultilevel"/>
    <w:tmpl w:val="B3E62688"/>
    <w:lvl w:ilvl="0" w:tplc="908E0D1C">
      <w:numFmt w:val="bullet"/>
      <w:lvlText w:val="·"/>
      <w:lvlJc w:val="left"/>
      <w:pPr>
        <w:ind w:left="870" w:hanging="51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2B30594"/>
    <w:multiLevelType w:val="hybridMultilevel"/>
    <w:tmpl w:val="75BC362C"/>
    <w:lvl w:ilvl="0" w:tplc="3CE0B2A2">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6AA0164"/>
    <w:multiLevelType w:val="hybridMultilevel"/>
    <w:tmpl w:val="894E0700"/>
    <w:lvl w:ilvl="0" w:tplc="3CE0B2A2">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6DB5187"/>
    <w:multiLevelType w:val="hybridMultilevel"/>
    <w:tmpl w:val="F1EA285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7384237"/>
    <w:multiLevelType w:val="hybridMultilevel"/>
    <w:tmpl w:val="DF2E635E"/>
    <w:lvl w:ilvl="0" w:tplc="3CE0B2A2">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1855814"/>
    <w:multiLevelType w:val="hybridMultilevel"/>
    <w:tmpl w:val="8A706448"/>
    <w:lvl w:ilvl="0" w:tplc="3CE0B2A2">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7"/>
  </w:num>
  <w:num w:numId="7">
    <w:abstractNumId w:val="3"/>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nrico Giovannini">
    <w15:presenceInfo w15:providerId="None" w15:userId="Enrico Giovann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F5"/>
    <w:rsid w:val="0000705D"/>
    <w:rsid w:val="000258CB"/>
    <w:rsid w:val="00057245"/>
    <w:rsid w:val="000644E0"/>
    <w:rsid w:val="0008173B"/>
    <w:rsid w:val="00107396"/>
    <w:rsid w:val="00127E61"/>
    <w:rsid w:val="0014105F"/>
    <w:rsid w:val="001646FE"/>
    <w:rsid w:val="00165BF4"/>
    <w:rsid w:val="00186E7A"/>
    <w:rsid w:val="001D016D"/>
    <w:rsid w:val="001D7A8C"/>
    <w:rsid w:val="001E0FAA"/>
    <w:rsid w:val="001F0C06"/>
    <w:rsid w:val="001F5415"/>
    <w:rsid w:val="002104F5"/>
    <w:rsid w:val="002162F2"/>
    <w:rsid w:val="002901E2"/>
    <w:rsid w:val="0029119B"/>
    <w:rsid w:val="002B1F71"/>
    <w:rsid w:val="002C2911"/>
    <w:rsid w:val="002C3D85"/>
    <w:rsid w:val="002D6F8C"/>
    <w:rsid w:val="002D7170"/>
    <w:rsid w:val="00303431"/>
    <w:rsid w:val="00321C33"/>
    <w:rsid w:val="00363AD5"/>
    <w:rsid w:val="003B3FED"/>
    <w:rsid w:val="0040556B"/>
    <w:rsid w:val="004205B0"/>
    <w:rsid w:val="00442DF3"/>
    <w:rsid w:val="00452230"/>
    <w:rsid w:val="00455798"/>
    <w:rsid w:val="004A41A5"/>
    <w:rsid w:val="004A582E"/>
    <w:rsid w:val="004D0127"/>
    <w:rsid w:val="004D28F1"/>
    <w:rsid w:val="004D6DAD"/>
    <w:rsid w:val="004E5636"/>
    <w:rsid w:val="00554278"/>
    <w:rsid w:val="005913DC"/>
    <w:rsid w:val="005A15B4"/>
    <w:rsid w:val="005A6934"/>
    <w:rsid w:val="005B0637"/>
    <w:rsid w:val="005B1315"/>
    <w:rsid w:val="00605E75"/>
    <w:rsid w:val="00631169"/>
    <w:rsid w:val="00635A19"/>
    <w:rsid w:val="00636BFE"/>
    <w:rsid w:val="00637B42"/>
    <w:rsid w:val="00642DD1"/>
    <w:rsid w:val="00653B55"/>
    <w:rsid w:val="00655527"/>
    <w:rsid w:val="00665BF2"/>
    <w:rsid w:val="00681625"/>
    <w:rsid w:val="00696A2A"/>
    <w:rsid w:val="006B6602"/>
    <w:rsid w:val="006B799D"/>
    <w:rsid w:val="006D316D"/>
    <w:rsid w:val="006E0919"/>
    <w:rsid w:val="0076534A"/>
    <w:rsid w:val="0078400C"/>
    <w:rsid w:val="007D31C5"/>
    <w:rsid w:val="007D79E3"/>
    <w:rsid w:val="007F0AA6"/>
    <w:rsid w:val="00804154"/>
    <w:rsid w:val="00820C0F"/>
    <w:rsid w:val="0083088F"/>
    <w:rsid w:val="0083123B"/>
    <w:rsid w:val="00870B82"/>
    <w:rsid w:val="00894031"/>
    <w:rsid w:val="00895CE3"/>
    <w:rsid w:val="008A5BF5"/>
    <w:rsid w:val="008A6C47"/>
    <w:rsid w:val="008D1050"/>
    <w:rsid w:val="008E38E6"/>
    <w:rsid w:val="00913DB0"/>
    <w:rsid w:val="00921D10"/>
    <w:rsid w:val="0094606D"/>
    <w:rsid w:val="00956815"/>
    <w:rsid w:val="00970A45"/>
    <w:rsid w:val="009D18CE"/>
    <w:rsid w:val="009F623C"/>
    <w:rsid w:val="00A10DDC"/>
    <w:rsid w:val="00A6158B"/>
    <w:rsid w:val="00A627E1"/>
    <w:rsid w:val="00A63B4A"/>
    <w:rsid w:val="00A809CE"/>
    <w:rsid w:val="00AB2FD7"/>
    <w:rsid w:val="00AD0562"/>
    <w:rsid w:val="00AD709E"/>
    <w:rsid w:val="00AD7799"/>
    <w:rsid w:val="00AF42FD"/>
    <w:rsid w:val="00AF5386"/>
    <w:rsid w:val="00B10FCD"/>
    <w:rsid w:val="00B3121C"/>
    <w:rsid w:val="00B3737F"/>
    <w:rsid w:val="00B441F2"/>
    <w:rsid w:val="00B626B9"/>
    <w:rsid w:val="00B6614B"/>
    <w:rsid w:val="00B748C7"/>
    <w:rsid w:val="00B756CA"/>
    <w:rsid w:val="00B91F54"/>
    <w:rsid w:val="00B97EA2"/>
    <w:rsid w:val="00BA02C5"/>
    <w:rsid w:val="00BA1690"/>
    <w:rsid w:val="00BC1246"/>
    <w:rsid w:val="00BD21E5"/>
    <w:rsid w:val="00BD35D1"/>
    <w:rsid w:val="00BD5E15"/>
    <w:rsid w:val="00BE5BD0"/>
    <w:rsid w:val="00C07203"/>
    <w:rsid w:val="00C1074A"/>
    <w:rsid w:val="00C34AF4"/>
    <w:rsid w:val="00C618FD"/>
    <w:rsid w:val="00C87150"/>
    <w:rsid w:val="00C90A82"/>
    <w:rsid w:val="00CA4189"/>
    <w:rsid w:val="00CF2E19"/>
    <w:rsid w:val="00CF5A61"/>
    <w:rsid w:val="00D03D34"/>
    <w:rsid w:val="00D15370"/>
    <w:rsid w:val="00D17E6C"/>
    <w:rsid w:val="00D60B04"/>
    <w:rsid w:val="00D87524"/>
    <w:rsid w:val="00D94250"/>
    <w:rsid w:val="00DD11F5"/>
    <w:rsid w:val="00E01443"/>
    <w:rsid w:val="00E15F2F"/>
    <w:rsid w:val="00E2197F"/>
    <w:rsid w:val="00E42DB2"/>
    <w:rsid w:val="00E701FB"/>
    <w:rsid w:val="00E8633F"/>
    <w:rsid w:val="00E86A50"/>
    <w:rsid w:val="00EA25B4"/>
    <w:rsid w:val="00EE233D"/>
    <w:rsid w:val="00EE45B6"/>
    <w:rsid w:val="00F576E7"/>
    <w:rsid w:val="00F71054"/>
    <w:rsid w:val="00F8277D"/>
    <w:rsid w:val="00FB5590"/>
    <w:rsid w:val="00FC351D"/>
    <w:rsid w:val="00FE4A1E"/>
    <w:rsid w:val="00FF5EB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045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1050"/>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A5BF5"/>
    <w:pPr>
      <w:tabs>
        <w:tab w:val="center" w:pos="4986"/>
        <w:tab w:val="right" w:pos="9972"/>
      </w:tabs>
    </w:pPr>
  </w:style>
  <w:style w:type="character" w:customStyle="1" w:styleId="IntestazioneCarattere">
    <w:name w:val="Intestazione Carattere"/>
    <w:basedOn w:val="Caratterepredefinitoparagrafo"/>
    <w:link w:val="Intestazione"/>
    <w:rsid w:val="008A5BF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8A5BF5"/>
    <w:pPr>
      <w:tabs>
        <w:tab w:val="center" w:pos="4986"/>
        <w:tab w:val="right" w:pos="9972"/>
      </w:tabs>
    </w:pPr>
  </w:style>
  <w:style w:type="character" w:customStyle="1" w:styleId="PidipaginaCarattere">
    <w:name w:val="Piè di pagina Carattere"/>
    <w:basedOn w:val="Caratterepredefinitoparagrafo"/>
    <w:link w:val="Pidipagina"/>
    <w:uiPriority w:val="99"/>
    <w:rsid w:val="008A5BF5"/>
    <w:rPr>
      <w:rFonts w:ascii="Times New Roman" w:eastAsia="Times New Roman" w:hAnsi="Times New Roman" w:cs="Times New Roman"/>
      <w:sz w:val="24"/>
      <w:szCs w:val="24"/>
      <w:lang w:eastAsia="it-IT"/>
    </w:rPr>
  </w:style>
  <w:style w:type="character" w:styleId="Collegamentoipertestuale">
    <w:name w:val="Hyperlink"/>
    <w:basedOn w:val="Caratterepredefinitoparagrafo"/>
    <w:uiPriority w:val="99"/>
    <w:unhideWhenUsed/>
    <w:rsid w:val="007D79E3"/>
    <w:rPr>
      <w:color w:val="0563C1" w:themeColor="hyperlink"/>
      <w:u w:val="single"/>
    </w:rPr>
  </w:style>
  <w:style w:type="paragraph" w:styleId="NormaleWeb">
    <w:name w:val="Normal (Web)"/>
    <w:basedOn w:val="Normale"/>
    <w:uiPriority w:val="99"/>
    <w:unhideWhenUsed/>
    <w:rsid w:val="007D79E3"/>
    <w:pPr>
      <w:spacing w:before="100" w:beforeAutospacing="1" w:after="100" w:afterAutospacing="1"/>
    </w:pPr>
    <w:rPr>
      <w:lang w:val="en-US" w:eastAsia="en-US"/>
    </w:rPr>
  </w:style>
  <w:style w:type="character" w:styleId="Enfasigrassetto">
    <w:name w:val="Strong"/>
    <w:basedOn w:val="Caratterepredefinitoparagrafo"/>
    <w:uiPriority w:val="22"/>
    <w:qFormat/>
    <w:rsid w:val="007D79E3"/>
    <w:rPr>
      <w:b/>
      <w:bCs/>
    </w:rPr>
  </w:style>
  <w:style w:type="character" w:styleId="Enfasicorsivo">
    <w:name w:val="Emphasis"/>
    <w:basedOn w:val="Caratterepredefinitoparagrafo"/>
    <w:uiPriority w:val="20"/>
    <w:qFormat/>
    <w:rsid w:val="00631169"/>
    <w:rPr>
      <w:i/>
      <w:iCs/>
    </w:rPr>
  </w:style>
  <w:style w:type="paragraph" w:styleId="Paragrafoelenco">
    <w:name w:val="List Paragraph"/>
    <w:basedOn w:val="Normale"/>
    <w:uiPriority w:val="34"/>
    <w:qFormat/>
    <w:rsid w:val="005913DC"/>
    <w:pPr>
      <w:ind w:left="720"/>
      <w:contextualSpacing/>
    </w:pPr>
  </w:style>
  <w:style w:type="paragraph" w:styleId="Testonotaapidipagina">
    <w:name w:val="footnote text"/>
    <w:basedOn w:val="Normale"/>
    <w:link w:val="TestonotaapidipaginaCarattere"/>
    <w:uiPriority w:val="99"/>
    <w:semiHidden/>
    <w:unhideWhenUsed/>
    <w:rsid w:val="00EE45B6"/>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atterepredefinitoparagrafo"/>
    <w:link w:val="Testonotaapidipagina"/>
    <w:uiPriority w:val="99"/>
    <w:semiHidden/>
    <w:rsid w:val="00EE45B6"/>
    <w:rPr>
      <w:sz w:val="20"/>
      <w:szCs w:val="20"/>
    </w:rPr>
  </w:style>
  <w:style w:type="character" w:styleId="Rimandonotaapidipagina">
    <w:name w:val="footnote reference"/>
    <w:basedOn w:val="Caratterepredefinitoparagrafo"/>
    <w:uiPriority w:val="99"/>
    <w:unhideWhenUsed/>
    <w:rsid w:val="00EE45B6"/>
    <w:rPr>
      <w:vertAlign w:val="superscript"/>
    </w:rPr>
  </w:style>
  <w:style w:type="paragraph" w:styleId="Testofumetto">
    <w:name w:val="Balloon Text"/>
    <w:basedOn w:val="Normale"/>
    <w:link w:val="TestofumettoCarattere"/>
    <w:uiPriority w:val="99"/>
    <w:semiHidden/>
    <w:unhideWhenUsed/>
    <w:rsid w:val="00E701FB"/>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E701FB"/>
    <w:rPr>
      <w:rFonts w:ascii="Segoe UI" w:eastAsia="Times New Roman" w:hAnsi="Segoe UI" w:cs="Segoe UI"/>
      <w:sz w:val="18"/>
      <w:szCs w:val="18"/>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1050"/>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A5BF5"/>
    <w:pPr>
      <w:tabs>
        <w:tab w:val="center" w:pos="4986"/>
        <w:tab w:val="right" w:pos="9972"/>
      </w:tabs>
    </w:pPr>
  </w:style>
  <w:style w:type="character" w:customStyle="1" w:styleId="IntestazioneCarattere">
    <w:name w:val="Intestazione Carattere"/>
    <w:basedOn w:val="Caratterepredefinitoparagrafo"/>
    <w:link w:val="Intestazione"/>
    <w:rsid w:val="008A5BF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8A5BF5"/>
    <w:pPr>
      <w:tabs>
        <w:tab w:val="center" w:pos="4986"/>
        <w:tab w:val="right" w:pos="9972"/>
      </w:tabs>
    </w:pPr>
  </w:style>
  <w:style w:type="character" w:customStyle="1" w:styleId="PidipaginaCarattere">
    <w:name w:val="Piè di pagina Carattere"/>
    <w:basedOn w:val="Caratterepredefinitoparagrafo"/>
    <w:link w:val="Pidipagina"/>
    <w:uiPriority w:val="99"/>
    <w:rsid w:val="008A5BF5"/>
    <w:rPr>
      <w:rFonts w:ascii="Times New Roman" w:eastAsia="Times New Roman" w:hAnsi="Times New Roman" w:cs="Times New Roman"/>
      <w:sz w:val="24"/>
      <w:szCs w:val="24"/>
      <w:lang w:eastAsia="it-IT"/>
    </w:rPr>
  </w:style>
  <w:style w:type="character" w:styleId="Collegamentoipertestuale">
    <w:name w:val="Hyperlink"/>
    <w:basedOn w:val="Caratterepredefinitoparagrafo"/>
    <w:uiPriority w:val="99"/>
    <w:unhideWhenUsed/>
    <w:rsid w:val="007D79E3"/>
    <w:rPr>
      <w:color w:val="0563C1" w:themeColor="hyperlink"/>
      <w:u w:val="single"/>
    </w:rPr>
  </w:style>
  <w:style w:type="paragraph" w:styleId="NormaleWeb">
    <w:name w:val="Normal (Web)"/>
    <w:basedOn w:val="Normale"/>
    <w:uiPriority w:val="99"/>
    <w:unhideWhenUsed/>
    <w:rsid w:val="007D79E3"/>
    <w:pPr>
      <w:spacing w:before="100" w:beforeAutospacing="1" w:after="100" w:afterAutospacing="1"/>
    </w:pPr>
    <w:rPr>
      <w:lang w:val="en-US" w:eastAsia="en-US"/>
    </w:rPr>
  </w:style>
  <w:style w:type="character" w:styleId="Enfasigrassetto">
    <w:name w:val="Strong"/>
    <w:basedOn w:val="Caratterepredefinitoparagrafo"/>
    <w:uiPriority w:val="22"/>
    <w:qFormat/>
    <w:rsid w:val="007D79E3"/>
    <w:rPr>
      <w:b/>
      <w:bCs/>
    </w:rPr>
  </w:style>
  <w:style w:type="character" w:styleId="Enfasicorsivo">
    <w:name w:val="Emphasis"/>
    <w:basedOn w:val="Caratterepredefinitoparagrafo"/>
    <w:uiPriority w:val="20"/>
    <w:qFormat/>
    <w:rsid w:val="00631169"/>
    <w:rPr>
      <w:i/>
      <w:iCs/>
    </w:rPr>
  </w:style>
  <w:style w:type="paragraph" w:styleId="Paragrafoelenco">
    <w:name w:val="List Paragraph"/>
    <w:basedOn w:val="Normale"/>
    <w:uiPriority w:val="34"/>
    <w:qFormat/>
    <w:rsid w:val="005913DC"/>
    <w:pPr>
      <w:ind w:left="720"/>
      <w:contextualSpacing/>
    </w:pPr>
  </w:style>
  <w:style w:type="paragraph" w:styleId="Testonotaapidipagina">
    <w:name w:val="footnote text"/>
    <w:basedOn w:val="Normale"/>
    <w:link w:val="TestonotaapidipaginaCarattere"/>
    <w:uiPriority w:val="99"/>
    <w:semiHidden/>
    <w:unhideWhenUsed/>
    <w:rsid w:val="00EE45B6"/>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atterepredefinitoparagrafo"/>
    <w:link w:val="Testonotaapidipagina"/>
    <w:uiPriority w:val="99"/>
    <w:semiHidden/>
    <w:rsid w:val="00EE45B6"/>
    <w:rPr>
      <w:sz w:val="20"/>
      <w:szCs w:val="20"/>
    </w:rPr>
  </w:style>
  <w:style w:type="character" w:styleId="Rimandonotaapidipagina">
    <w:name w:val="footnote reference"/>
    <w:basedOn w:val="Caratterepredefinitoparagrafo"/>
    <w:uiPriority w:val="99"/>
    <w:unhideWhenUsed/>
    <w:rsid w:val="00EE45B6"/>
    <w:rPr>
      <w:vertAlign w:val="superscript"/>
    </w:rPr>
  </w:style>
  <w:style w:type="paragraph" w:styleId="Testofumetto">
    <w:name w:val="Balloon Text"/>
    <w:basedOn w:val="Normale"/>
    <w:link w:val="TestofumettoCarattere"/>
    <w:uiPriority w:val="99"/>
    <w:semiHidden/>
    <w:unhideWhenUsed/>
    <w:rsid w:val="00E701FB"/>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E701FB"/>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7110">
      <w:bodyDiv w:val="1"/>
      <w:marLeft w:val="0"/>
      <w:marRight w:val="0"/>
      <w:marTop w:val="0"/>
      <w:marBottom w:val="0"/>
      <w:divBdr>
        <w:top w:val="none" w:sz="0" w:space="0" w:color="auto"/>
        <w:left w:val="none" w:sz="0" w:space="0" w:color="auto"/>
        <w:bottom w:val="none" w:sz="0" w:space="0" w:color="auto"/>
        <w:right w:val="none" w:sz="0" w:space="0" w:color="auto"/>
      </w:divBdr>
    </w:div>
    <w:div w:id="156843566">
      <w:bodyDiv w:val="1"/>
      <w:marLeft w:val="0"/>
      <w:marRight w:val="0"/>
      <w:marTop w:val="0"/>
      <w:marBottom w:val="0"/>
      <w:divBdr>
        <w:top w:val="none" w:sz="0" w:space="0" w:color="auto"/>
        <w:left w:val="none" w:sz="0" w:space="0" w:color="auto"/>
        <w:bottom w:val="none" w:sz="0" w:space="0" w:color="auto"/>
        <w:right w:val="none" w:sz="0" w:space="0" w:color="auto"/>
      </w:divBdr>
    </w:div>
    <w:div w:id="160855177">
      <w:bodyDiv w:val="1"/>
      <w:marLeft w:val="0"/>
      <w:marRight w:val="0"/>
      <w:marTop w:val="0"/>
      <w:marBottom w:val="0"/>
      <w:divBdr>
        <w:top w:val="none" w:sz="0" w:space="0" w:color="auto"/>
        <w:left w:val="none" w:sz="0" w:space="0" w:color="auto"/>
        <w:bottom w:val="none" w:sz="0" w:space="0" w:color="auto"/>
        <w:right w:val="none" w:sz="0" w:space="0" w:color="auto"/>
      </w:divBdr>
    </w:div>
    <w:div w:id="259141659">
      <w:bodyDiv w:val="1"/>
      <w:marLeft w:val="0"/>
      <w:marRight w:val="0"/>
      <w:marTop w:val="0"/>
      <w:marBottom w:val="0"/>
      <w:divBdr>
        <w:top w:val="none" w:sz="0" w:space="0" w:color="auto"/>
        <w:left w:val="none" w:sz="0" w:space="0" w:color="auto"/>
        <w:bottom w:val="none" w:sz="0" w:space="0" w:color="auto"/>
        <w:right w:val="none" w:sz="0" w:space="0" w:color="auto"/>
      </w:divBdr>
    </w:div>
    <w:div w:id="397943043">
      <w:bodyDiv w:val="1"/>
      <w:marLeft w:val="0"/>
      <w:marRight w:val="0"/>
      <w:marTop w:val="0"/>
      <w:marBottom w:val="0"/>
      <w:divBdr>
        <w:top w:val="none" w:sz="0" w:space="0" w:color="auto"/>
        <w:left w:val="none" w:sz="0" w:space="0" w:color="auto"/>
        <w:bottom w:val="none" w:sz="0" w:space="0" w:color="auto"/>
        <w:right w:val="none" w:sz="0" w:space="0" w:color="auto"/>
      </w:divBdr>
    </w:div>
    <w:div w:id="430514025">
      <w:bodyDiv w:val="1"/>
      <w:marLeft w:val="0"/>
      <w:marRight w:val="0"/>
      <w:marTop w:val="0"/>
      <w:marBottom w:val="0"/>
      <w:divBdr>
        <w:top w:val="none" w:sz="0" w:space="0" w:color="auto"/>
        <w:left w:val="none" w:sz="0" w:space="0" w:color="auto"/>
        <w:bottom w:val="none" w:sz="0" w:space="0" w:color="auto"/>
        <w:right w:val="none" w:sz="0" w:space="0" w:color="auto"/>
      </w:divBdr>
    </w:div>
    <w:div w:id="459421056">
      <w:bodyDiv w:val="1"/>
      <w:marLeft w:val="0"/>
      <w:marRight w:val="0"/>
      <w:marTop w:val="0"/>
      <w:marBottom w:val="0"/>
      <w:divBdr>
        <w:top w:val="none" w:sz="0" w:space="0" w:color="auto"/>
        <w:left w:val="none" w:sz="0" w:space="0" w:color="auto"/>
        <w:bottom w:val="none" w:sz="0" w:space="0" w:color="auto"/>
        <w:right w:val="none" w:sz="0" w:space="0" w:color="auto"/>
      </w:divBdr>
    </w:div>
    <w:div w:id="565073776">
      <w:bodyDiv w:val="1"/>
      <w:marLeft w:val="0"/>
      <w:marRight w:val="0"/>
      <w:marTop w:val="0"/>
      <w:marBottom w:val="0"/>
      <w:divBdr>
        <w:top w:val="none" w:sz="0" w:space="0" w:color="auto"/>
        <w:left w:val="none" w:sz="0" w:space="0" w:color="auto"/>
        <w:bottom w:val="none" w:sz="0" w:space="0" w:color="auto"/>
        <w:right w:val="none" w:sz="0" w:space="0" w:color="auto"/>
      </w:divBdr>
    </w:div>
    <w:div w:id="602609531">
      <w:bodyDiv w:val="1"/>
      <w:marLeft w:val="0"/>
      <w:marRight w:val="0"/>
      <w:marTop w:val="0"/>
      <w:marBottom w:val="0"/>
      <w:divBdr>
        <w:top w:val="none" w:sz="0" w:space="0" w:color="auto"/>
        <w:left w:val="none" w:sz="0" w:space="0" w:color="auto"/>
        <w:bottom w:val="none" w:sz="0" w:space="0" w:color="auto"/>
        <w:right w:val="none" w:sz="0" w:space="0" w:color="auto"/>
      </w:divBdr>
    </w:div>
    <w:div w:id="646982589">
      <w:bodyDiv w:val="1"/>
      <w:marLeft w:val="0"/>
      <w:marRight w:val="0"/>
      <w:marTop w:val="0"/>
      <w:marBottom w:val="0"/>
      <w:divBdr>
        <w:top w:val="none" w:sz="0" w:space="0" w:color="auto"/>
        <w:left w:val="none" w:sz="0" w:space="0" w:color="auto"/>
        <w:bottom w:val="none" w:sz="0" w:space="0" w:color="auto"/>
        <w:right w:val="none" w:sz="0" w:space="0" w:color="auto"/>
      </w:divBdr>
    </w:div>
    <w:div w:id="897327159">
      <w:bodyDiv w:val="1"/>
      <w:marLeft w:val="0"/>
      <w:marRight w:val="0"/>
      <w:marTop w:val="0"/>
      <w:marBottom w:val="0"/>
      <w:divBdr>
        <w:top w:val="none" w:sz="0" w:space="0" w:color="auto"/>
        <w:left w:val="none" w:sz="0" w:space="0" w:color="auto"/>
        <w:bottom w:val="none" w:sz="0" w:space="0" w:color="auto"/>
        <w:right w:val="none" w:sz="0" w:space="0" w:color="auto"/>
      </w:divBdr>
    </w:div>
    <w:div w:id="1001128202">
      <w:bodyDiv w:val="1"/>
      <w:marLeft w:val="0"/>
      <w:marRight w:val="0"/>
      <w:marTop w:val="0"/>
      <w:marBottom w:val="0"/>
      <w:divBdr>
        <w:top w:val="none" w:sz="0" w:space="0" w:color="auto"/>
        <w:left w:val="none" w:sz="0" w:space="0" w:color="auto"/>
        <w:bottom w:val="none" w:sz="0" w:space="0" w:color="auto"/>
        <w:right w:val="none" w:sz="0" w:space="0" w:color="auto"/>
      </w:divBdr>
    </w:div>
    <w:div w:id="1201435991">
      <w:bodyDiv w:val="1"/>
      <w:marLeft w:val="0"/>
      <w:marRight w:val="0"/>
      <w:marTop w:val="0"/>
      <w:marBottom w:val="0"/>
      <w:divBdr>
        <w:top w:val="none" w:sz="0" w:space="0" w:color="auto"/>
        <w:left w:val="none" w:sz="0" w:space="0" w:color="auto"/>
        <w:bottom w:val="none" w:sz="0" w:space="0" w:color="auto"/>
        <w:right w:val="none" w:sz="0" w:space="0" w:color="auto"/>
      </w:divBdr>
    </w:div>
    <w:div w:id="1212888290">
      <w:bodyDiv w:val="1"/>
      <w:marLeft w:val="0"/>
      <w:marRight w:val="0"/>
      <w:marTop w:val="0"/>
      <w:marBottom w:val="0"/>
      <w:divBdr>
        <w:top w:val="none" w:sz="0" w:space="0" w:color="auto"/>
        <w:left w:val="none" w:sz="0" w:space="0" w:color="auto"/>
        <w:bottom w:val="none" w:sz="0" w:space="0" w:color="auto"/>
        <w:right w:val="none" w:sz="0" w:space="0" w:color="auto"/>
      </w:divBdr>
    </w:div>
    <w:div w:id="1311061696">
      <w:bodyDiv w:val="1"/>
      <w:marLeft w:val="0"/>
      <w:marRight w:val="0"/>
      <w:marTop w:val="0"/>
      <w:marBottom w:val="0"/>
      <w:divBdr>
        <w:top w:val="none" w:sz="0" w:space="0" w:color="auto"/>
        <w:left w:val="none" w:sz="0" w:space="0" w:color="auto"/>
        <w:bottom w:val="none" w:sz="0" w:space="0" w:color="auto"/>
        <w:right w:val="none" w:sz="0" w:space="0" w:color="auto"/>
      </w:divBdr>
    </w:div>
    <w:div w:id="1337923329">
      <w:bodyDiv w:val="1"/>
      <w:marLeft w:val="0"/>
      <w:marRight w:val="0"/>
      <w:marTop w:val="0"/>
      <w:marBottom w:val="0"/>
      <w:divBdr>
        <w:top w:val="none" w:sz="0" w:space="0" w:color="auto"/>
        <w:left w:val="none" w:sz="0" w:space="0" w:color="auto"/>
        <w:bottom w:val="none" w:sz="0" w:space="0" w:color="auto"/>
        <w:right w:val="none" w:sz="0" w:space="0" w:color="auto"/>
      </w:divBdr>
    </w:div>
    <w:div w:id="1347319774">
      <w:bodyDiv w:val="1"/>
      <w:marLeft w:val="0"/>
      <w:marRight w:val="0"/>
      <w:marTop w:val="0"/>
      <w:marBottom w:val="0"/>
      <w:divBdr>
        <w:top w:val="none" w:sz="0" w:space="0" w:color="auto"/>
        <w:left w:val="none" w:sz="0" w:space="0" w:color="auto"/>
        <w:bottom w:val="none" w:sz="0" w:space="0" w:color="auto"/>
        <w:right w:val="none" w:sz="0" w:space="0" w:color="auto"/>
      </w:divBdr>
    </w:div>
    <w:div w:id="1418090241">
      <w:bodyDiv w:val="1"/>
      <w:marLeft w:val="0"/>
      <w:marRight w:val="0"/>
      <w:marTop w:val="0"/>
      <w:marBottom w:val="0"/>
      <w:divBdr>
        <w:top w:val="none" w:sz="0" w:space="0" w:color="auto"/>
        <w:left w:val="none" w:sz="0" w:space="0" w:color="auto"/>
        <w:bottom w:val="none" w:sz="0" w:space="0" w:color="auto"/>
        <w:right w:val="none" w:sz="0" w:space="0" w:color="auto"/>
      </w:divBdr>
    </w:div>
    <w:div w:id="1533154836">
      <w:bodyDiv w:val="1"/>
      <w:marLeft w:val="0"/>
      <w:marRight w:val="0"/>
      <w:marTop w:val="0"/>
      <w:marBottom w:val="0"/>
      <w:divBdr>
        <w:top w:val="none" w:sz="0" w:space="0" w:color="auto"/>
        <w:left w:val="none" w:sz="0" w:space="0" w:color="auto"/>
        <w:bottom w:val="none" w:sz="0" w:space="0" w:color="auto"/>
        <w:right w:val="none" w:sz="0" w:space="0" w:color="auto"/>
      </w:divBdr>
    </w:div>
    <w:div w:id="1727217457">
      <w:bodyDiv w:val="1"/>
      <w:marLeft w:val="0"/>
      <w:marRight w:val="0"/>
      <w:marTop w:val="0"/>
      <w:marBottom w:val="0"/>
      <w:divBdr>
        <w:top w:val="none" w:sz="0" w:space="0" w:color="auto"/>
        <w:left w:val="none" w:sz="0" w:space="0" w:color="auto"/>
        <w:bottom w:val="none" w:sz="0" w:space="0" w:color="auto"/>
        <w:right w:val="none" w:sz="0" w:space="0" w:color="auto"/>
      </w:divBdr>
    </w:div>
    <w:div w:id="1802963924">
      <w:bodyDiv w:val="1"/>
      <w:marLeft w:val="0"/>
      <w:marRight w:val="0"/>
      <w:marTop w:val="0"/>
      <w:marBottom w:val="0"/>
      <w:divBdr>
        <w:top w:val="none" w:sz="0" w:space="0" w:color="auto"/>
        <w:left w:val="none" w:sz="0" w:space="0" w:color="auto"/>
        <w:bottom w:val="none" w:sz="0" w:space="0" w:color="auto"/>
        <w:right w:val="none" w:sz="0" w:space="0" w:color="auto"/>
      </w:divBdr>
    </w:div>
    <w:div w:id="1882859407">
      <w:bodyDiv w:val="1"/>
      <w:marLeft w:val="0"/>
      <w:marRight w:val="0"/>
      <w:marTop w:val="0"/>
      <w:marBottom w:val="0"/>
      <w:divBdr>
        <w:top w:val="none" w:sz="0" w:space="0" w:color="auto"/>
        <w:left w:val="none" w:sz="0" w:space="0" w:color="auto"/>
        <w:bottom w:val="none" w:sz="0" w:space="0" w:color="auto"/>
        <w:right w:val="none" w:sz="0" w:space="0" w:color="auto"/>
      </w:divBdr>
    </w:div>
    <w:div w:id="1899169552">
      <w:bodyDiv w:val="1"/>
      <w:marLeft w:val="0"/>
      <w:marRight w:val="0"/>
      <w:marTop w:val="0"/>
      <w:marBottom w:val="0"/>
      <w:divBdr>
        <w:top w:val="none" w:sz="0" w:space="0" w:color="auto"/>
        <w:left w:val="none" w:sz="0" w:space="0" w:color="auto"/>
        <w:bottom w:val="none" w:sz="0" w:space="0" w:color="auto"/>
        <w:right w:val="none" w:sz="0" w:space="0" w:color="auto"/>
      </w:divBdr>
    </w:div>
    <w:div w:id="1914583525">
      <w:bodyDiv w:val="1"/>
      <w:marLeft w:val="0"/>
      <w:marRight w:val="0"/>
      <w:marTop w:val="0"/>
      <w:marBottom w:val="0"/>
      <w:divBdr>
        <w:top w:val="none" w:sz="0" w:space="0" w:color="auto"/>
        <w:left w:val="none" w:sz="0" w:space="0" w:color="auto"/>
        <w:bottom w:val="none" w:sz="0" w:space="0" w:color="auto"/>
        <w:right w:val="none" w:sz="0" w:space="0" w:color="auto"/>
      </w:divBdr>
    </w:div>
    <w:div w:id="1971010733">
      <w:bodyDiv w:val="1"/>
      <w:marLeft w:val="0"/>
      <w:marRight w:val="0"/>
      <w:marTop w:val="0"/>
      <w:marBottom w:val="0"/>
      <w:divBdr>
        <w:top w:val="none" w:sz="0" w:space="0" w:color="auto"/>
        <w:left w:val="none" w:sz="0" w:space="0" w:color="auto"/>
        <w:bottom w:val="none" w:sz="0" w:space="0" w:color="auto"/>
        <w:right w:val="none" w:sz="0" w:space="0" w:color="auto"/>
      </w:divBdr>
    </w:div>
    <w:div w:id="1997220438">
      <w:bodyDiv w:val="1"/>
      <w:marLeft w:val="0"/>
      <w:marRight w:val="0"/>
      <w:marTop w:val="0"/>
      <w:marBottom w:val="0"/>
      <w:divBdr>
        <w:top w:val="none" w:sz="0" w:space="0" w:color="auto"/>
        <w:left w:val="none" w:sz="0" w:space="0" w:color="auto"/>
        <w:bottom w:val="none" w:sz="0" w:space="0" w:color="auto"/>
        <w:right w:val="none" w:sz="0" w:space="0" w:color="auto"/>
      </w:divBdr>
    </w:div>
    <w:div w:id="2000765413">
      <w:bodyDiv w:val="1"/>
      <w:marLeft w:val="0"/>
      <w:marRight w:val="0"/>
      <w:marTop w:val="0"/>
      <w:marBottom w:val="0"/>
      <w:divBdr>
        <w:top w:val="none" w:sz="0" w:space="0" w:color="auto"/>
        <w:left w:val="none" w:sz="0" w:space="0" w:color="auto"/>
        <w:bottom w:val="none" w:sz="0" w:space="0" w:color="auto"/>
        <w:right w:val="none" w:sz="0" w:space="0" w:color="auto"/>
      </w:divBdr>
    </w:div>
    <w:div w:id="20238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keepeek.com/Digital-Asset-Management/oecd/development/making-development-co-operation-more-effective_9789264266261-e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73EC9-5775-3045-AC7E-E834B1713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9144</Words>
  <Characters>52127</Characters>
  <Application>Microsoft Macintosh Word</Application>
  <DocSecurity>0</DocSecurity>
  <Lines>434</Lines>
  <Paragraphs>122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Administrator</Company>
  <LinksUpToDate>false</LinksUpToDate>
  <CharactersWithSpaces>61149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Martino</dc:creator>
  <cp:lastModifiedBy>Giulia D'Agata</cp:lastModifiedBy>
  <cp:revision>2</cp:revision>
  <cp:lastPrinted>2017-03-20T10:31:00Z</cp:lastPrinted>
  <dcterms:created xsi:type="dcterms:W3CDTF">2017-04-03T08:38:00Z</dcterms:created>
  <dcterms:modified xsi:type="dcterms:W3CDTF">2017-04-03T08:38:00Z</dcterms:modified>
</cp:coreProperties>
</file>